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AC9A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0912869"/>
      <w:bookmarkStart w:id="1" w:name="_Toc478055541"/>
      <w:r w:rsidRPr="0049216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9234" wp14:editId="7715BBEA">
                <wp:simplePos x="0" y="0"/>
                <wp:positionH relativeFrom="column">
                  <wp:posOffset>2848127</wp:posOffset>
                </wp:positionH>
                <wp:positionV relativeFrom="paragraph">
                  <wp:posOffset>-339928</wp:posOffset>
                </wp:positionV>
                <wp:extent cx="248717" cy="219456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CB6688" w14:textId="77777777" w:rsidR="00492164" w:rsidRDefault="00492164" w:rsidP="0049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0923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4.25pt;margin-top:-26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" fillcolor="window" stroked="f" strokeweight=".5pt">
                <v:textbox>
                  <w:txbxContent>
                    <w:p w14:paraId="5BCB6688" w14:textId="77777777" w:rsidR="00492164" w:rsidRDefault="00492164" w:rsidP="00492164"/>
                  </w:txbxContent>
                </v:textbox>
              </v:shape>
            </w:pict>
          </mc:Fallback>
        </mc:AlternateContent>
      </w:r>
      <w:r w:rsidRPr="00492164">
        <w:rPr>
          <w:rFonts w:ascii="Times New Roman" w:hAnsi="Times New Roman"/>
          <w:b/>
          <w:sz w:val="28"/>
          <w:szCs w:val="28"/>
        </w:rPr>
        <w:t>Обзор</w:t>
      </w:r>
    </w:p>
    <w:p w14:paraId="1299709B" w14:textId="47766615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правоприменительной практики контрольно-надзорной деятельности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в Верхне-Донском управлении Федеральной службы по экологическому, технологическому и атомному надзору при осуществлении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в области промышленной безопасности 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6 месяцев 202</w:t>
      </w:r>
      <w:r w:rsidR="00FB2F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14:paraId="2381A9ED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060A4BE" w14:textId="77777777" w:rsidR="00492164" w:rsidRPr="00492164" w:rsidRDefault="00492164" w:rsidP="00492164">
      <w:pPr>
        <w:keepNext/>
        <w:keepLines/>
        <w:spacing w:after="0"/>
        <w:ind w:right="-2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49216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bookmarkEnd w:id="0"/>
    </w:p>
    <w:p w14:paraId="569CD6FA" w14:textId="77777777" w:rsidR="00492164" w:rsidRPr="00492164" w:rsidRDefault="00492164" w:rsidP="00492164">
      <w:pPr>
        <w:spacing w:after="0"/>
        <w:rPr>
          <w:rFonts w:ascii="Times New Roman" w:hAnsi="Times New Roman"/>
          <w:sz w:val="28"/>
          <w:szCs w:val="28"/>
        </w:rPr>
      </w:pPr>
    </w:p>
    <w:p w14:paraId="59F0195F" w14:textId="4B6B7B6C" w:rsidR="00492164" w:rsidRPr="00492164" w:rsidRDefault="00492164" w:rsidP="00492164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1E499C">
        <w:rPr>
          <w:rFonts w:ascii="Times New Roman" w:hAnsi="Times New Roman"/>
          <w:sz w:val="28"/>
          <w:szCs w:val="28"/>
        </w:rPr>
        <w:t>2</w:t>
      </w:r>
      <w:r w:rsidRPr="00492164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</w:t>
      </w:r>
      <w:r w:rsidR="001E499C" w:rsidRPr="001E499C">
        <w:rPr>
          <w:rFonts w:ascii="Times New Roman" w:hAnsi="Times New Roman"/>
          <w:sz w:val="28"/>
          <w:szCs w:val="28"/>
        </w:rPr>
        <w:t xml:space="preserve">30 июня 2021 года </w:t>
      </w:r>
      <w:r w:rsidR="001E499C">
        <w:rPr>
          <w:rFonts w:ascii="Times New Roman" w:hAnsi="Times New Roman"/>
          <w:sz w:val="28"/>
          <w:szCs w:val="28"/>
        </w:rPr>
        <w:t>№</w:t>
      </w:r>
      <w:r w:rsidR="001E499C" w:rsidRPr="001E499C">
        <w:rPr>
          <w:rFonts w:ascii="Times New Roman" w:hAnsi="Times New Roman"/>
          <w:sz w:val="28"/>
          <w:szCs w:val="28"/>
        </w:rPr>
        <w:t>1082</w:t>
      </w:r>
      <w:r w:rsidR="001E499C">
        <w:rPr>
          <w:rFonts w:ascii="Times New Roman" w:hAnsi="Times New Roman"/>
          <w:sz w:val="28"/>
          <w:szCs w:val="28"/>
        </w:rPr>
        <w:t xml:space="preserve"> </w:t>
      </w:r>
      <w:r w:rsidRPr="001E499C">
        <w:rPr>
          <w:rFonts w:ascii="Times New Roman" w:hAnsi="Times New Roman"/>
          <w:sz w:val="28"/>
          <w:szCs w:val="28"/>
        </w:rPr>
        <w:t>«</w:t>
      </w:r>
      <w:r w:rsidR="001E499C" w:rsidRPr="001E499C">
        <w:rPr>
          <w:rFonts w:ascii="Times New Roman" w:hAnsi="Times New Roman"/>
          <w:sz w:val="28"/>
          <w:szCs w:val="28"/>
        </w:rPr>
        <w:t>О федеральном государственном надзоре в области промышленной безопасности</w:t>
      </w:r>
      <w:r w:rsidRPr="00492164">
        <w:rPr>
          <w:rFonts w:ascii="Times New Roman" w:hAnsi="Times New Roman"/>
          <w:sz w:val="28"/>
          <w:szCs w:val="28"/>
        </w:rPr>
        <w:t xml:space="preserve">» Верхне-Донское управление Федеральной службы по экологическому, технологическому и атомному надзору (далее – Управление) является </w:t>
      </w:r>
      <w:r w:rsidR="001E499C">
        <w:rPr>
          <w:rFonts w:ascii="Times New Roman" w:hAnsi="Times New Roman"/>
          <w:sz w:val="28"/>
          <w:szCs w:val="28"/>
        </w:rPr>
        <w:t>территориальным органом Федеральной службы по экологическому, технологическому и атомному надзору</w:t>
      </w:r>
      <w:r w:rsidRPr="00492164">
        <w:rPr>
          <w:rFonts w:ascii="Times New Roman" w:hAnsi="Times New Roman"/>
          <w:sz w:val="28"/>
          <w:szCs w:val="28"/>
        </w:rPr>
        <w:t>, уполномоченным на осуществление федерального государственного надзора в обл</w:t>
      </w:r>
      <w:bookmarkStart w:id="2" w:name="OLE_LINK3"/>
      <w:bookmarkStart w:id="3" w:name="OLE_LINK2"/>
      <w:r w:rsidRPr="00492164">
        <w:rPr>
          <w:rFonts w:ascii="Times New Roman" w:hAnsi="Times New Roman"/>
          <w:sz w:val="28"/>
          <w:szCs w:val="28"/>
        </w:rPr>
        <w:t>асти промышленной безопасности.</w:t>
      </w:r>
    </w:p>
    <w:bookmarkEnd w:id="2"/>
    <w:bookmarkEnd w:id="3"/>
    <w:p w14:paraId="6B0A4892" w14:textId="36B69BE3" w:rsidR="00492164" w:rsidRPr="00492164" w:rsidRDefault="00492164" w:rsidP="0049216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Настоящий доклад о правоприменительной практике контрольно-надзорной деятельности в Верхне-Донском управлении Ростехнадзора при осуществлении федерального государственного надзора в области промышленной безопасности за 6 месяцев </w:t>
      </w:r>
      <w:r w:rsidRPr="00492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FB2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492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492164">
        <w:rPr>
          <w:rFonts w:ascii="Times New Roman" w:hAnsi="Times New Roman"/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14:paraId="7C3D59E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bookmarkStart w:id="4" w:name="_GoBack"/>
      <w:r w:rsidRPr="00492164">
        <w:rPr>
          <w:rFonts w:ascii="Times New Roman" w:hAnsi="Times New Roman"/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Pr="00492164">
        <w:rPr>
          <w:rFonts w:ascii="Times New Roman" w:hAnsi="Times New Roman"/>
          <w:bCs/>
          <w:sz w:val="28"/>
          <w:szCs w:val="28"/>
        </w:rPr>
        <w:br/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bookmarkEnd w:id="4"/>
      <w:r w:rsidRPr="00492164">
        <w:rPr>
          <w:rFonts w:ascii="Times New Roman" w:hAnsi="Times New Roman"/>
          <w:bCs/>
          <w:sz w:val="28"/>
          <w:szCs w:val="28"/>
        </w:rPr>
        <w:t>;</w:t>
      </w:r>
    </w:p>
    <w:p w14:paraId="58AE9370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</w:t>
      </w:r>
      <w:r w:rsidRPr="00492164">
        <w:rPr>
          <w:rFonts w:ascii="Times New Roman" w:hAnsi="Times New Roman"/>
          <w:sz w:val="28"/>
          <w:szCs w:val="28"/>
        </w:rPr>
        <w:br/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14:paraId="3C5B033C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14:paraId="0A97DC9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lastRenderedPageBreak/>
        <w:t xml:space="preserve">приказа Ростехнадзора от 26 февраля 2020 г. № 81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492164">
        <w:rPr>
          <w:rFonts w:ascii="Times New Roman" w:hAnsi="Times New Roman"/>
          <w:sz w:val="28"/>
          <w:szCs w:val="28"/>
        </w:rPr>
        <w:br/>
        <w:t>по экологическому, технологическому и атомному надзору».</w:t>
      </w:r>
    </w:p>
    <w:p w14:paraId="7EF5F40D" w14:textId="6195D26E" w:rsidR="00492164" w:rsidRPr="00492164" w:rsidRDefault="00492164" w:rsidP="00492164">
      <w:pPr>
        <w:spacing w:after="0"/>
        <w:ind w:right="-2" w:firstLine="686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безопасности,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bookmarkEnd w:id="1"/>
    <w:p w14:paraId="30E49886" w14:textId="77777777" w:rsidR="007B1AAD" w:rsidRPr="007B1AAD" w:rsidRDefault="007B1AAD" w:rsidP="007B1AAD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58F2F47" w14:textId="77777777" w:rsidR="00FB2F9A" w:rsidRPr="00FB2F9A" w:rsidRDefault="00FB2F9A" w:rsidP="00FB2F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Государственный надзор в горнорудной и нерудной отрасли</w:t>
      </w:r>
    </w:p>
    <w:p w14:paraId="311575A9" w14:textId="77777777" w:rsidR="00FB2F9A" w:rsidRPr="00FB2F9A" w:rsidRDefault="00FB2F9A" w:rsidP="00FB2F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4F9715" w14:textId="6C242615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Государственный горный надзор за выполнением требований Федеральных законов, постановлений Правительства РФ,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по промышленной безопасности на опасных производственных объектах Верхне-Донского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>.</w:t>
      </w:r>
    </w:p>
    <w:p w14:paraId="4B63CD6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отчётный период 6 месяцев 2023 под надзором находится 20 предприятий, ведущих горные работы (подземных рудников – 2, дренажных</w:t>
      </w:r>
      <w:r w:rsidRPr="00FB2F9A">
        <w:rPr>
          <w:rFonts w:ascii="Times New Roman" w:hAnsi="Times New Roman"/>
          <w:sz w:val="28"/>
          <w:szCs w:val="28"/>
        </w:rPr>
        <w:br/>
        <w:t>шахт -3, карьеров – 17, обогатительных фабрик – 9, участков горного капитального строительства - 2) и 1 предприятие осуществляет строительство подземного овощехранилища.</w:t>
      </w:r>
    </w:p>
    <w:p w14:paraId="4ECCD5C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Основными </w:t>
      </w:r>
      <w:proofErr w:type="spellStart"/>
      <w:r w:rsidRPr="00FB2F9A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являются АО «Лебединский ГОК», </w:t>
      </w:r>
      <w:r w:rsidRPr="00FB2F9A">
        <w:rPr>
          <w:rFonts w:ascii="Times New Roman" w:hAnsi="Times New Roman"/>
          <w:sz w:val="28"/>
          <w:szCs w:val="28"/>
        </w:rPr>
        <w:br/>
        <w:t xml:space="preserve">АО «Михайловский ГОК им. А.В. </w:t>
      </w:r>
      <w:proofErr w:type="spellStart"/>
      <w:r w:rsidRPr="00FB2F9A">
        <w:rPr>
          <w:rFonts w:ascii="Times New Roman" w:hAnsi="Times New Roman"/>
          <w:sz w:val="28"/>
          <w:szCs w:val="28"/>
        </w:rPr>
        <w:t>Варичева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», АО «Стойленский ГОК», </w:t>
      </w:r>
      <w:r w:rsidRPr="00FB2F9A">
        <w:rPr>
          <w:rFonts w:ascii="Times New Roman" w:hAnsi="Times New Roman"/>
          <w:sz w:val="28"/>
          <w:szCs w:val="28"/>
        </w:rPr>
        <w:br/>
        <w:t xml:space="preserve">АО «Комбинат </w:t>
      </w:r>
      <w:proofErr w:type="spellStart"/>
      <w:r w:rsidRPr="00FB2F9A">
        <w:rPr>
          <w:rFonts w:ascii="Times New Roman" w:hAnsi="Times New Roman"/>
          <w:sz w:val="28"/>
          <w:szCs w:val="28"/>
        </w:rPr>
        <w:t>КМАруда</w:t>
      </w:r>
      <w:proofErr w:type="spellEnd"/>
      <w:r w:rsidRPr="00FB2F9A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ГОК».</w:t>
      </w:r>
    </w:p>
    <w:p w14:paraId="2331B41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6 месяцев 2023 на поднадзорных предприятиях аварий не зафиксировано. </w:t>
      </w:r>
    </w:p>
    <w:p w14:paraId="44D7BCA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шесть месяцев 2023 года произошел 1 несчастный случай, а именно:</w:t>
      </w:r>
    </w:p>
    <w:p w14:paraId="236D907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Тяжелый несчастный случай происшедший 17 января 2023 в 14 часов 10 минут АО «Лебединский ГОК», расположенного по адресу: 309191, Белгородская область, г. Губкин, промышленная зона,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промплощадка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ЛГОКа</w:t>
      </w:r>
      <w:proofErr w:type="spellEnd"/>
      <w:r w:rsidRPr="00FB2F9A">
        <w:rPr>
          <w:rFonts w:ascii="Times New Roman" w:hAnsi="Times New Roman"/>
          <w:sz w:val="28"/>
          <w:szCs w:val="28"/>
        </w:rPr>
        <w:t>, корпус участка обогащения №3 инв. №1102068, с электросварщиком ручной сварки 4-го разряда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Промтехмонтаж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B2F9A">
        <w:rPr>
          <w:rFonts w:ascii="Times New Roman" w:hAnsi="Times New Roman"/>
          <w:sz w:val="28"/>
          <w:szCs w:val="28"/>
        </w:rPr>
        <w:t>Чумиковым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А.А.</w:t>
      </w:r>
    </w:p>
    <w:p w14:paraId="3D4BDC6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Основная причина:</w:t>
      </w:r>
    </w:p>
    <w:p w14:paraId="2252431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Неудовлетворительная организация производство работ со стороны</w:t>
      </w:r>
    </w:p>
    <w:p w14:paraId="48E498A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юридического и должных лиц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Промтехмонтаж</w:t>
      </w:r>
      <w:proofErr w:type="spellEnd"/>
      <w:r w:rsidRPr="00FB2F9A">
        <w:rPr>
          <w:rFonts w:ascii="Times New Roman" w:hAnsi="Times New Roman"/>
          <w:sz w:val="28"/>
          <w:szCs w:val="28"/>
        </w:rPr>
        <w:t>» выразившаяся в:</w:t>
      </w:r>
    </w:p>
    <w:p w14:paraId="04C0391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 разработке работодателем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Промтехмонтаж</w:t>
      </w:r>
      <w:proofErr w:type="spellEnd"/>
      <w:r w:rsidRPr="00FB2F9A">
        <w:rPr>
          <w:rFonts w:ascii="Times New Roman" w:hAnsi="Times New Roman"/>
          <w:sz w:val="28"/>
          <w:szCs w:val="28"/>
        </w:rPr>
        <w:t>» производственно-технологической документации (</w:t>
      </w:r>
      <w:proofErr w:type="spellStart"/>
      <w:r w:rsidRPr="00FB2F9A">
        <w:rPr>
          <w:rFonts w:ascii="Times New Roman" w:hAnsi="Times New Roman"/>
          <w:sz w:val="28"/>
          <w:szCs w:val="28"/>
        </w:rPr>
        <w:t>инструкця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по безопасному производству выполняемых работ, технологическая карта (проект производства работ)) по замене сепаратора ПБМ-ПП-120/300.</w:t>
      </w:r>
    </w:p>
    <w:p w14:paraId="5D5A468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 xml:space="preserve">- нахождении электросварщика ручной сварки 4-го разряда </w:t>
      </w:r>
      <w:proofErr w:type="spellStart"/>
      <w:r w:rsidRPr="00FB2F9A">
        <w:rPr>
          <w:rFonts w:ascii="Times New Roman" w:hAnsi="Times New Roman"/>
          <w:sz w:val="28"/>
          <w:szCs w:val="28"/>
        </w:rPr>
        <w:t>Чумикова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А.А. под желобом разгрузки концентрата сепаратора магнитного барабанного ПБМ-ПП-120/300 №20-1-36 для выполнения подготовки к сварочным работам без указания непосредственного руководителя работ;</w:t>
      </w:r>
    </w:p>
    <w:p w14:paraId="6B514EF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выполнении работ по монтажу желоба разгрузки концентрата сепаратора магнитного барабанного ПБМ-ПП-120/300 №20-1-36 относящаяся к выполнению работ повышенной опасности без присутствия лица технического надзора на месте производства работ;</w:t>
      </w:r>
    </w:p>
    <w:p w14:paraId="2950097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выдачи письменного наряд-задания на выполнение работ в месте, имеющем нарушения требований безопасности, в виде течи воды из задвижки Ду-200 по фланцевому соединению;</w:t>
      </w:r>
    </w:p>
    <w:p w14:paraId="7E88E8A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 прекращении работ при обнаружении несоответствия фактическому состоянию, в части наличия течи технологической воды из задвижки Ду-200 трубной разводка воды на II стадию сепарации у сепаратора магнитного барабанного ПБМ-ПП-120/300 №20-1-36;</w:t>
      </w:r>
    </w:p>
    <w:p w14:paraId="6551821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 соответствии требованиям промышленной безопасности изготовленного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Промтехмонтаж</w:t>
      </w:r>
      <w:proofErr w:type="spellEnd"/>
      <w:r w:rsidRPr="00FB2F9A">
        <w:rPr>
          <w:rFonts w:ascii="Times New Roman" w:hAnsi="Times New Roman"/>
          <w:sz w:val="28"/>
          <w:szCs w:val="28"/>
        </w:rPr>
        <w:t>» желоба, отсутствуют «Опоры», поз.2 «Швеллер 14 ГОСТ 8240-89», в количестве 2 шт.</w:t>
      </w:r>
    </w:p>
    <w:p w14:paraId="02F8944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Сопутствующие причины:</w:t>
      </w:r>
    </w:p>
    <w:p w14:paraId="155D658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Неудовлетворительная организация и осуществление производственного контроля за соблюдением требований промышленной безопасности, не соблюдение требований охраны труда, необеспечение контроля со стороны руководителей и специалистов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Промтехмонтаж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», АО «Лебединский ГОК» за ходом выполнения работы, соблюдение трудовой дисциплины, нарушение допуска к работам с повышенной опасностью, выразившаяся в: </w:t>
      </w:r>
    </w:p>
    <w:p w14:paraId="3B0C979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- не сохранении места несчастного случая, а именно: отсутствие на месте несчастного случая балластного реостата, сварочного кабеля с </w:t>
      </w:r>
      <w:proofErr w:type="spellStart"/>
      <w:r w:rsidRPr="00FB2F9A">
        <w:rPr>
          <w:rFonts w:ascii="Times New Roman" w:hAnsi="Times New Roman"/>
          <w:sz w:val="28"/>
          <w:szCs w:val="28"/>
        </w:rPr>
        <w:t>электрододержателем</w:t>
      </w:r>
      <w:proofErr w:type="spellEnd"/>
      <w:r w:rsidRPr="00FB2F9A">
        <w:rPr>
          <w:rFonts w:ascii="Times New Roman" w:hAnsi="Times New Roman"/>
          <w:sz w:val="28"/>
          <w:szCs w:val="28"/>
        </w:rPr>
        <w:t>, страховочных привязей, зубила кузнечного с деревянной рукояткой, двух огнетушителей;</w:t>
      </w:r>
    </w:p>
    <w:p w14:paraId="6D1FE7B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 обеспечении осуществления контроля за безопасным выполнением работ по монтажу желоба разгрузки концентрата сепаратора магнитного барабанного ПБМ-ПП-120/300.</w:t>
      </w:r>
    </w:p>
    <w:p w14:paraId="7C089D2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- не проведении проверки мероприятий по обеспечению требований промышленной безопасности, указанных в наряде-допуске непосредственно на месте производства работ при продлении наряда-допуска. </w:t>
      </w:r>
    </w:p>
    <w:p w14:paraId="7183084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 утверждении проекта производства работ на выполнение комплекса строительно-монтажных работ на опасном производственном объекте «Фабрика обогащения рудного сырья и черных металлов» руководителем подрядной организаций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Промтехмонтаж</w:t>
      </w:r>
      <w:proofErr w:type="spellEnd"/>
      <w:r w:rsidRPr="00FB2F9A">
        <w:rPr>
          <w:rFonts w:ascii="Times New Roman" w:hAnsi="Times New Roman"/>
          <w:sz w:val="28"/>
          <w:szCs w:val="28"/>
        </w:rPr>
        <w:t>»;</w:t>
      </w:r>
    </w:p>
    <w:p w14:paraId="4AE1CE3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>- отсутствии в ППР «На замену сепараторов магнитных» требований к выполнению работ по сварке желоба разгрузки концентрата к сепаратору магнитному барабанному ПБМ-ПП-120/300 №20-1-36;</w:t>
      </w:r>
    </w:p>
    <w:p w14:paraId="53B1950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отсутствии схемы места проведения огневых работ к наряду-допуску на проведение огневых работ №1649, подписанная руководителем структурного подразделения;</w:t>
      </w:r>
    </w:p>
    <w:p w14:paraId="5EB0424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- отсутствии аттестации сварщика в Национальном Агентстве Контроля Сварки (НАКС) у электросварщика ручной сварки 4-го разряда </w:t>
      </w:r>
      <w:proofErr w:type="spellStart"/>
      <w:r w:rsidRPr="00FB2F9A">
        <w:rPr>
          <w:rFonts w:ascii="Times New Roman" w:hAnsi="Times New Roman"/>
          <w:sz w:val="28"/>
          <w:szCs w:val="28"/>
        </w:rPr>
        <w:t>Чумикова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А.А.;</w:t>
      </w:r>
    </w:p>
    <w:p w14:paraId="2AEC8CB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-руководстве сварочными работами лица, не имеющего аттестационное свидетельство специалиста сварочного производства не ниже II уровня;</w:t>
      </w:r>
    </w:p>
    <w:p w14:paraId="4FDF354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монтаже плитки камнелитой в желобе разгрузочном до его крепления к корпусу сепаратора магнитного барабанного ПБМ-ПП-120/300 №20-1-36.</w:t>
      </w:r>
    </w:p>
    <w:p w14:paraId="410BB4B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В сфере безопасного ведения работ, связанных с пользованием недрами и промышленной безопасности за 6 месяцев 2023 года проведено 5 проверок. Выявлено 244 нарушений обязательных требований промышленной безопасности. За допущенные нарушения наложено 23 административных штрафа, в том числе 7 временных приостановок деятельности по эксплуатации технических устройств и одной горной выработки, 1 штраф на юридическое лицо, 6 на должностных лиц из них 16 предупреждений, общая сумма наложенных штрафов составила 1145 тыс. рублей.</w:t>
      </w:r>
    </w:p>
    <w:p w14:paraId="7921AF9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всех подконтрольных предприятиях, организован и действует производственный контроль за соблюдением требований промышленной безопасности при эксплуатации опасных производственных объектов.</w:t>
      </w:r>
    </w:p>
    <w:p w14:paraId="1C5A3A8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Проводится экспертиза промышленной безопасности зданий и сооружений, технических устройств с истекшим сроком эксплуатации. В соответствии с Федеральным законом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эксплуатирующие организации предоставляют полисы страхования риска ответственности за причинение вреда, жизни, здоровью или имуществу третьих лиц и окружающей природной среде в результате аварии на опасном производственном объекте.</w:t>
      </w:r>
    </w:p>
    <w:p w14:paraId="4C832A1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Поднадзорные горнорудные предприятия региона КМА: АО «Комбинат </w:t>
      </w:r>
      <w:proofErr w:type="spellStart"/>
      <w:r w:rsidRPr="00FB2F9A">
        <w:rPr>
          <w:rFonts w:ascii="Times New Roman" w:hAnsi="Times New Roman"/>
          <w:sz w:val="28"/>
          <w:szCs w:val="28"/>
        </w:rPr>
        <w:t>КМАруда</w:t>
      </w:r>
      <w:proofErr w:type="spellEnd"/>
      <w:r w:rsidRPr="00FB2F9A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ГОК», АО «Лебединский ГОК», АО «Михайловский ГОК им. А.В. </w:t>
      </w:r>
      <w:proofErr w:type="spellStart"/>
      <w:r w:rsidRPr="00FB2F9A">
        <w:rPr>
          <w:rFonts w:ascii="Times New Roman" w:hAnsi="Times New Roman"/>
          <w:sz w:val="28"/>
          <w:szCs w:val="28"/>
        </w:rPr>
        <w:t>Варичева</w:t>
      </w:r>
      <w:proofErr w:type="spellEnd"/>
      <w:r w:rsidRPr="00FB2F9A">
        <w:rPr>
          <w:rFonts w:ascii="Times New Roman" w:hAnsi="Times New Roman"/>
          <w:sz w:val="28"/>
          <w:szCs w:val="28"/>
        </w:rPr>
        <w:t>», АО «Стойленский ГОК» имеют договора на обслуживание с филиалом «Военизированный горноспасательный отряд Юга и Центра» ФГУП «ВГСЧ». Выполнение договорных обязательств удовлетворительное.</w:t>
      </w:r>
    </w:p>
    <w:p w14:paraId="5EF1F21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предприятиях созданы вспомогательные горноспасательные команды для обслуживания опасных производственных объектов.</w:t>
      </w:r>
    </w:p>
    <w:p w14:paraId="02E2533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>На поднадзорных горных предприятиях созданы службы безопасности. На подъездных дорогах установлены шлагбаумы, работает пропускная система транспорта, введена круглосуточная охрана и пропускной режим для работников предприятий и посторонних лиц. Начальники цехов, линейный персонал горных предприятий обеспечены переносной радиосвязью и работают в сотрудничестве со службами безопасности предприятий.</w:t>
      </w:r>
    </w:p>
    <w:p w14:paraId="3F9F81E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Данные мероприятия обеспечивают защиту объектов горных работ от несанкционированных проникновений посторонних лиц и принятие оперативных мер по предупреждению террористических действий.</w:t>
      </w:r>
    </w:p>
    <w:p w14:paraId="65467C3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1834E7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Надзор за обращением взрывчатых материалов промышленного назначения</w:t>
      </w:r>
    </w:p>
    <w:p w14:paraId="27B2637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9F05D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Государственный контроль и надзор за выполнением требований Федеральных законов, постановлений Правительства РФ,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в области промышленной безопасности на опасных производственных объектах Белгородской и Курской области осуществляется отделом по горному надзору маркшейдерскими и взрывными работами по Белгородской области.</w:t>
      </w:r>
    </w:p>
    <w:p w14:paraId="4CAF6CE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Всего под надзором находятся:</w:t>
      </w:r>
    </w:p>
    <w:p w14:paraId="00F2DB4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пять горнорудных предприятий, осуществляющих деятельность на опасных производственных объектах, связанные с изготовлением, хранением, применением, транспортированием взрывчатых материалов промышленного назначения;</w:t>
      </w:r>
    </w:p>
    <w:p w14:paraId="7FD2F88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одна организация, связанная с хранением, применением, изготовлением и распространением взрывчатых веществ. Взрывные работы данная организация выполняет подрядным способом;</w:t>
      </w:r>
    </w:p>
    <w:p w14:paraId="5B96172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три организации, осуществляющие деятельность по предупреждению, ликвидации чрезвычайных ситуаций и уничтожению взрывоопасных предметов.</w:t>
      </w:r>
    </w:p>
    <w:p w14:paraId="280442E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Представлены следующие поднадзорные организации и опасные производственные объекты:</w:t>
      </w:r>
    </w:p>
    <w:p w14:paraId="4687C08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Предприятия, ведущие добычу руд черных металлов открытым способом;</w:t>
      </w:r>
    </w:p>
    <w:p w14:paraId="60F1093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1. АО «Лебединский ГОК».</w:t>
      </w:r>
    </w:p>
    <w:p w14:paraId="19FBD34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-Рудник с открытым способом разработки (карьер) II класс опасности</w:t>
      </w:r>
    </w:p>
    <w:p w14:paraId="6CE5497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-Склад взрывчатых материалов II класс опасности</w:t>
      </w:r>
    </w:p>
    <w:p w14:paraId="33416CE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Участок горного капитального строительства (специализированный подземный дренажной шахты) II класс опасности</w:t>
      </w:r>
    </w:p>
    <w:p w14:paraId="6FFB6C6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-Пункт изготовления ЭВВ "</w:t>
      </w:r>
      <w:proofErr w:type="spellStart"/>
      <w:r w:rsidRPr="00FB2F9A">
        <w:rPr>
          <w:rFonts w:ascii="Times New Roman" w:hAnsi="Times New Roman"/>
          <w:sz w:val="28"/>
          <w:szCs w:val="28"/>
        </w:rPr>
        <w:t>Тован</w:t>
      </w:r>
      <w:proofErr w:type="spellEnd"/>
      <w:r w:rsidRPr="00FB2F9A">
        <w:rPr>
          <w:rFonts w:ascii="Times New Roman" w:hAnsi="Times New Roman"/>
          <w:sz w:val="28"/>
          <w:szCs w:val="28"/>
        </w:rPr>
        <w:t>" III класс опасности</w:t>
      </w:r>
    </w:p>
    <w:p w14:paraId="1B7B664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2. АО «Стойленский ГОК»</w:t>
      </w:r>
    </w:p>
    <w:p w14:paraId="680F226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>-Рудник с открытым способом разработки (карьер Рудоуправления) II класс опасности</w:t>
      </w:r>
    </w:p>
    <w:p w14:paraId="27A8CD1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шахты) II класс опасности</w:t>
      </w:r>
    </w:p>
    <w:p w14:paraId="11D10A9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-Площадка погрузки-разгрузки взрывчатых материалов дренажной шахты III класс опасности</w:t>
      </w:r>
    </w:p>
    <w:p w14:paraId="1B8FA91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3. АО «Михайловский ГОК им. А.В. </w:t>
      </w:r>
      <w:proofErr w:type="spellStart"/>
      <w:r w:rsidRPr="00FB2F9A">
        <w:rPr>
          <w:rFonts w:ascii="Times New Roman" w:hAnsi="Times New Roman"/>
          <w:sz w:val="28"/>
          <w:szCs w:val="28"/>
        </w:rPr>
        <w:t>Варичева</w:t>
      </w:r>
      <w:proofErr w:type="spellEnd"/>
      <w:r w:rsidRPr="00FB2F9A">
        <w:rPr>
          <w:rFonts w:ascii="Times New Roman" w:hAnsi="Times New Roman"/>
          <w:sz w:val="28"/>
          <w:szCs w:val="28"/>
        </w:rPr>
        <w:t>».</w:t>
      </w:r>
    </w:p>
    <w:p w14:paraId="715651E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</w:t>
      </w:r>
    </w:p>
    <w:p w14:paraId="1790415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-Склад взрывчатых материалов II класс опасности</w:t>
      </w:r>
    </w:p>
    <w:p w14:paraId="1427725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шахты) II класс опасности</w:t>
      </w:r>
    </w:p>
    <w:p w14:paraId="485AFF6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F9A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ведущие добычу руд черных металлов подземным способом;</w:t>
      </w:r>
    </w:p>
    <w:p w14:paraId="6604CCE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4. АО «Комбинат КМА руда».</w:t>
      </w:r>
    </w:p>
    <w:p w14:paraId="6136E7B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-Рудник с подземным способом разработки II класс опасности</w:t>
      </w:r>
    </w:p>
    <w:p w14:paraId="1263E06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5.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ГОК».</w:t>
      </w:r>
    </w:p>
    <w:p w14:paraId="1CA4742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-Рудник подземным II класс опасности</w:t>
      </w:r>
    </w:p>
    <w:p w14:paraId="6C08165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F9A">
        <w:rPr>
          <w:rFonts w:ascii="Times New Roman" w:hAnsi="Times New Roman"/>
          <w:sz w:val="28"/>
          <w:szCs w:val="28"/>
        </w:rPr>
        <w:t>Предприятие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специализирующееся на хранении ВМ, изготовлению ЭВВ «</w:t>
      </w:r>
      <w:proofErr w:type="spellStart"/>
      <w:r w:rsidRPr="00FB2F9A">
        <w:rPr>
          <w:rFonts w:ascii="Times New Roman" w:hAnsi="Times New Roman"/>
          <w:sz w:val="28"/>
          <w:szCs w:val="28"/>
        </w:rPr>
        <w:t>Нитрониты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», распространению ВМ и производству взрывных работ в карьерах </w:t>
      </w:r>
    </w:p>
    <w:p w14:paraId="0D4DE73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6. ООО «АВИСТО»</w:t>
      </w:r>
    </w:p>
    <w:p w14:paraId="00ABFA2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-Площадка погрузки-разгрузки взрывчатых материалов II класс опасности</w:t>
      </w:r>
    </w:p>
    <w:p w14:paraId="60A792F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-Склад взрывчатых материалов II класс опасности</w:t>
      </w:r>
    </w:p>
    <w:p w14:paraId="17BDD27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-Участок производства эмульсионных взрывчатых веществ III класс опасности</w:t>
      </w:r>
    </w:p>
    <w:p w14:paraId="683F0DA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Организации, осуществляющие деятельность по предупреждению, ликвидации чрезвычайных ситуаций и уничтожению взрывоопасных предметов</w:t>
      </w:r>
    </w:p>
    <w:p w14:paraId="55FB4F8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7. Областное Государственное Казенное Учреждение «Управление по делам гражданской обороны, чрезвычайным ситуациям Белгородской области».</w:t>
      </w:r>
    </w:p>
    <w:p w14:paraId="2527C18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Полигон, испытательная площадка III класс опасности</w:t>
      </w:r>
    </w:p>
    <w:p w14:paraId="0138CBD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8. МКУ «Управление по делам ГО и ЧС </w:t>
      </w:r>
      <w:proofErr w:type="spellStart"/>
      <w:r w:rsidRPr="00FB2F9A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городского округа».</w:t>
      </w:r>
    </w:p>
    <w:p w14:paraId="7AF1930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Полигон, испытательная площадка III класс опасности</w:t>
      </w:r>
    </w:p>
    <w:p w14:paraId="20A196A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9.Областное казенное учреждение "Аварийно-спасательная служба Курской области".</w:t>
      </w:r>
    </w:p>
    <w:p w14:paraId="721CA13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Номенклатура производства и потребления ВМ промышленного назначения обусловлена производством ВВ собственного изготовления (в основном эмульсионных) различных марок. Изготовление гранулированных ВВ, в общем объеме, незначителен и обусловлен технологией проходки горных выработок подземного рудника (АО «Комбинат КМА руда»). Проходка горных выработок рудника с подземным способом разработки и дренажных шахт, осуществляется с </w:t>
      </w:r>
      <w:r w:rsidRPr="00FB2F9A">
        <w:rPr>
          <w:rFonts w:ascii="Times New Roman" w:hAnsi="Times New Roman"/>
          <w:sz w:val="28"/>
          <w:szCs w:val="28"/>
        </w:rPr>
        <w:lastRenderedPageBreak/>
        <w:t>применением патронированных ВВ «Аммонал-200», Аммонит-6ЖВ-32, Аммонит-6ЖВ-90.</w:t>
      </w:r>
    </w:p>
    <w:p w14:paraId="4F62799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Горнодобывающее предприятие АО «Лебединский ГОК», АО «Михайловский ГОК» изготавливают ЭВВ марок «</w:t>
      </w:r>
      <w:proofErr w:type="spellStart"/>
      <w:r w:rsidRPr="00FB2F9A">
        <w:rPr>
          <w:rFonts w:ascii="Times New Roman" w:hAnsi="Times New Roman"/>
          <w:sz w:val="28"/>
          <w:szCs w:val="28"/>
        </w:rPr>
        <w:t>Тован</w:t>
      </w:r>
      <w:proofErr w:type="spellEnd"/>
      <w:r w:rsidRPr="00FB2F9A">
        <w:rPr>
          <w:rFonts w:ascii="Times New Roman" w:hAnsi="Times New Roman"/>
          <w:sz w:val="28"/>
          <w:szCs w:val="28"/>
        </w:rPr>
        <w:t>», «</w:t>
      </w:r>
      <w:proofErr w:type="spellStart"/>
      <w:r w:rsidRPr="00FB2F9A">
        <w:rPr>
          <w:rFonts w:ascii="Times New Roman" w:hAnsi="Times New Roman"/>
          <w:sz w:val="28"/>
          <w:szCs w:val="28"/>
        </w:rPr>
        <w:t>Товаг</w:t>
      </w:r>
      <w:proofErr w:type="spellEnd"/>
      <w:r w:rsidRPr="00FB2F9A">
        <w:rPr>
          <w:rFonts w:ascii="Times New Roman" w:hAnsi="Times New Roman"/>
          <w:sz w:val="28"/>
          <w:szCs w:val="28"/>
        </w:rPr>
        <w:t>», «</w:t>
      </w:r>
      <w:proofErr w:type="spellStart"/>
      <w:r w:rsidRPr="00FB2F9A">
        <w:rPr>
          <w:rFonts w:ascii="Times New Roman" w:hAnsi="Times New Roman"/>
          <w:sz w:val="28"/>
          <w:szCs w:val="28"/>
        </w:rPr>
        <w:t>Гранэмит</w:t>
      </w:r>
      <w:proofErr w:type="spellEnd"/>
      <w:r w:rsidRPr="00FB2F9A">
        <w:rPr>
          <w:rFonts w:ascii="Times New Roman" w:hAnsi="Times New Roman"/>
          <w:sz w:val="28"/>
          <w:szCs w:val="28"/>
        </w:rPr>
        <w:t>» из невзрывчатых компонентов на собственных стационарных пунктах, расположенных на выделенных территориях складов ВМ, в пределах горного отвода предприятий.</w:t>
      </w:r>
    </w:p>
    <w:p w14:paraId="0FDEE32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ООО «АВИСТО» изготавливают ЭВВ марки «</w:t>
      </w:r>
      <w:proofErr w:type="spellStart"/>
      <w:r w:rsidRPr="00FB2F9A">
        <w:rPr>
          <w:rFonts w:ascii="Times New Roman" w:hAnsi="Times New Roman"/>
          <w:sz w:val="28"/>
          <w:szCs w:val="28"/>
        </w:rPr>
        <w:t>Нитронит</w:t>
      </w:r>
      <w:proofErr w:type="spellEnd"/>
      <w:r w:rsidRPr="00FB2F9A">
        <w:rPr>
          <w:rFonts w:ascii="Times New Roman" w:hAnsi="Times New Roman"/>
          <w:sz w:val="28"/>
          <w:szCs w:val="28"/>
        </w:rPr>
        <w:t>» из невзрывчатых компонентов на собственном стационарном пункте, расположенного на выделенной территории базисного склада ВМ.</w:t>
      </w:r>
    </w:p>
    <w:p w14:paraId="74BC43F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Доставка ВМ к местам применения осуществляется, в пределах горных отводов предприятий, транспортно-смесительно-зарядными машинами и специальными автомобилями под охраной вооруженных нарядов сотрудниками ФГУП «Охрана»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. </w:t>
      </w:r>
    </w:p>
    <w:p w14:paraId="7587AEB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Инициирование шпуровых и скважинных зарядов осуществляется с помощью допущенных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к применению неэлектрических систем инициирования типа «</w:t>
      </w:r>
      <w:proofErr w:type="spellStart"/>
      <w:r w:rsidRPr="00FB2F9A">
        <w:rPr>
          <w:rFonts w:ascii="Times New Roman" w:hAnsi="Times New Roman"/>
          <w:sz w:val="28"/>
          <w:szCs w:val="28"/>
        </w:rPr>
        <w:t>Примадет</w:t>
      </w:r>
      <w:proofErr w:type="spellEnd"/>
      <w:r w:rsidRPr="00FB2F9A">
        <w:rPr>
          <w:rFonts w:ascii="Times New Roman" w:hAnsi="Times New Roman"/>
          <w:sz w:val="28"/>
          <w:szCs w:val="28"/>
        </w:rPr>
        <w:t>», «</w:t>
      </w:r>
      <w:proofErr w:type="spellStart"/>
      <w:r w:rsidRPr="00FB2F9A">
        <w:rPr>
          <w:rFonts w:ascii="Times New Roman" w:hAnsi="Times New Roman"/>
          <w:sz w:val="28"/>
          <w:szCs w:val="28"/>
        </w:rPr>
        <w:t>Эдилин</w:t>
      </w:r>
      <w:proofErr w:type="spellEnd"/>
      <w:r w:rsidRPr="00FB2F9A">
        <w:rPr>
          <w:rFonts w:ascii="Times New Roman" w:hAnsi="Times New Roman"/>
          <w:sz w:val="28"/>
          <w:szCs w:val="28"/>
        </w:rPr>
        <w:t>» «Коршун». Применение электрического способа инициирования скважинных зарядов не значителен и обусловлен проведением массовых взрывов в АО «Комбинат КМА руда», Огневой способ взрывания полностью исключен с 2006 года.</w:t>
      </w:r>
    </w:p>
    <w:p w14:paraId="7147BDC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Коммутация взрываемых скважин на открытых горных работах осуществляется с помощью ДШЭ-12, РПЭ-2, НСИ.</w:t>
      </w:r>
    </w:p>
    <w:p w14:paraId="6847BCB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истекший период инспекторским составом проведены 2 плановые проверки и 1 внеплановая проверка. В ходе проверок выявлено 12 нарушений. По результатам проверок, за нарушения правил и инструкций в области промышленной безопасности связанных с взрывчатыми материалами промышленного назначения, привлечено к административной ответственности 1 должностное лицо, на сумму 35 тыс. рублей. Предприятия и организации своевременно проводят страхование гражданской ответственности опасных производственных объектов за причинение вреда в результате аварии на опасном объекте.</w:t>
      </w:r>
    </w:p>
    <w:p w14:paraId="2320122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Предприятиями разработаны, прошли экспертизу и утверждены декларации промышленной безопасности опасных производственных объектов, и другие документы, обеспечивающие безопасную деятельность предприятий.</w:t>
      </w:r>
    </w:p>
    <w:p w14:paraId="206508D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Все горнодобывающие предприятия и организации имеют </w:t>
      </w:r>
      <w:proofErr w:type="gramStart"/>
      <w:r w:rsidRPr="00FB2F9A">
        <w:rPr>
          <w:rFonts w:ascii="Times New Roman" w:hAnsi="Times New Roman"/>
          <w:sz w:val="28"/>
          <w:szCs w:val="28"/>
        </w:rPr>
        <w:t>лицензии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соответствующие профилю деятельности предприятия, организации.</w:t>
      </w:r>
    </w:p>
    <w:p w14:paraId="5F10A2B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3FA120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Маркшейдерский контроль и надзор за безопасным недропользованием</w:t>
      </w:r>
    </w:p>
    <w:p w14:paraId="5014FD2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40814E" w14:textId="20A2AA5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 xml:space="preserve">Маркшейдерский контроль за выполнением требований Федеральных законов, постановлений Правительства РФ,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на опасных производственных объектах Белгородской и Курской областей осуществлялся отделом по горному надзору, маркшейдерскими и взрывными работами по Белгородской области </w:t>
      </w:r>
      <w:proofErr w:type="spellStart"/>
      <w:r w:rsidRPr="00FB2F9A">
        <w:rPr>
          <w:rFonts w:ascii="Times New Roman" w:hAnsi="Times New Roman"/>
          <w:sz w:val="28"/>
          <w:szCs w:val="28"/>
        </w:rPr>
        <w:t>Верхне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- Донского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>.</w:t>
      </w:r>
    </w:p>
    <w:p w14:paraId="55AD79C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По состоянию на 01.07.2023 под надзором находится 29 предприятий, имеющих лицензии на право производства маркшейдерских работ, в </w:t>
      </w:r>
      <w:proofErr w:type="spellStart"/>
      <w:r w:rsidRPr="00FB2F9A">
        <w:rPr>
          <w:rFonts w:ascii="Times New Roman" w:hAnsi="Times New Roman"/>
          <w:sz w:val="28"/>
          <w:szCs w:val="28"/>
        </w:rPr>
        <w:t>т.ч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. эксплуатирующих опасные производственные объекты – 5, специализированные организации, ведущие маркшейдерские работы -15 и осуществляющих добычу общераспространенных полезных ископаемых - 9. Основными </w:t>
      </w:r>
      <w:proofErr w:type="spellStart"/>
      <w:r w:rsidRPr="00FB2F9A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являются АО «Лебединский ГОК», АО «Стойленский ГОК», АО «Комбинат </w:t>
      </w:r>
      <w:proofErr w:type="spellStart"/>
      <w:r w:rsidRPr="00FB2F9A">
        <w:rPr>
          <w:rFonts w:ascii="Times New Roman" w:hAnsi="Times New Roman"/>
          <w:sz w:val="28"/>
          <w:szCs w:val="28"/>
        </w:rPr>
        <w:t>КМАруда</w:t>
      </w:r>
      <w:proofErr w:type="spellEnd"/>
      <w:r w:rsidRPr="00FB2F9A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FB2F9A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ГОК» и АО «Михайловский ГОК им. А.В. </w:t>
      </w:r>
      <w:proofErr w:type="spellStart"/>
      <w:r w:rsidRPr="00FB2F9A">
        <w:rPr>
          <w:rFonts w:ascii="Times New Roman" w:hAnsi="Times New Roman"/>
          <w:sz w:val="28"/>
          <w:szCs w:val="28"/>
        </w:rPr>
        <w:t>Варичева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». </w:t>
      </w:r>
    </w:p>
    <w:p w14:paraId="7B24DAF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Подконтрольные предприятия обеспечивают отработку запасов полезных ископаемых на основании требований регламентирующих документов: лицензий на право добычи, лицензии на производство маркшейдерских работ, технических проектов, планов развития горных работ, регламентов и рекомендаций научно-исследовательских институтов и внедрения новых технологий программного компьютерного обеспечения планирования и моделирования ведения горных работ.</w:t>
      </w:r>
    </w:p>
    <w:p w14:paraId="4FF05D1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Предприятия обеспечены квалифицированными кадрами маркшейдеров.</w:t>
      </w:r>
    </w:p>
    <w:p w14:paraId="533019D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Обеспечивается производственный маркшейдерский контроль за влиянием горных работ на здания и сооружения, расположенные в горном отводе.</w:t>
      </w:r>
    </w:p>
    <w:p w14:paraId="775C28D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Осуществляется контроль за выполнением проектных решений по </w:t>
      </w:r>
      <w:proofErr w:type="spellStart"/>
      <w:r w:rsidRPr="00FB2F9A">
        <w:rPr>
          <w:rFonts w:ascii="Times New Roman" w:hAnsi="Times New Roman"/>
          <w:sz w:val="28"/>
          <w:szCs w:val="28"/>
        </w:rPr>
        <w:t>гидрозащите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осушению карьеров для обеспечения работы горного оборудования в нормальном режиме.</w:t>
      </w:r>
    </w:p>
    <w:p w14:paraId="2596C05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6 месяцев 2023 год было проведено 3 проверки. Выявлено 12 нарушений обязательных требований промышленной безопасности в сфере маркшейдерского контроля и надзора за безопасным недропользованием.</w:t>
      </w:r>
    </w:p>
    <w:p w14:paraId="235E223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53C344" w14:textId="301AFA3E" w:rsid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Федеральный государственный надзор за объектами транспортирования опасных веществ</w:t>
      </w:r>
    </w:p>
    <w:p w14:paraId="15FEEEF3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76EA6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6 месяцев 2023 года количество поднадзорных организаций: эксплуатирующих опасные производственные объекты транспортирования опасных веществ – составило 152.</w:t>
      </w:r>
    </w:p>
    <w:p w14:paraId="0A0A93F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В отчётном периоде проведено 1 плановое контрольно-надзорные мероприятие, выявлено 1 нарушение требований норм и правил в области промышленной безопасности.</w:t>
      </w:r>
    </w:p>
    <w:p w14:paraId="52DBF0F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>Принято участие в 1 проверке с прокуратурой, в качестве специалиста.</w:t>
      </w:r>
    </w:p>
    <w:p w14:paraId="5AB89D2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Проведено 2 внеплановые оценки готовности предприятия к соблюдению лицензионных требований.</w:t>
      </w:r>
    </w:p>
    <w:p w14:paraId="7770F3E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6 месяцев 2023 года на поднадзорных объектах аварий, несчастных случаев не зарегистрировано.</w:t>
      </w:r>
    </w:p>
    <w:p w14:paraId="434A850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Случаев сокрытия аварий, инцидентов на подконтрольных предприятиях, эксплуатирующих опасные производственные объекты хранения и переработки растительного сырья, а также не своевременного предоставления информации об аварийности и инцидентах не выявлено. </w:t>
      </w:r>
    </w:p>
    <w:p w14:paraId="051BE7C3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A96E7CD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Федеральный государственный надзор на взрывопожароопасных объектах хранения и переработки растительного сырья</w:t>
      </w:r>
    </w:p>
    <w:p w14:paraId="2A4773A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2C686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6 месяцев 2023 года количество поднадзорных организаций, осуществляющих эксплуатацию 1139 объектов хранения и переработки растительного сырья, составило 479.</w:t>
      </w:r>
    </w:p>
    <w:p w14:paraId="4CAEA4C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6 месяцев 2023 года на поднадзорных объектах аварий, несчастных случаев не зарегистрировано.</w:t>
      </w:r>
    </w:p>
    <w:p w14:paraId="62F4C40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Случаев сокрытия аварий, инцидентов на подконтрольных предприятиях, эксплуатирующих опасные производственные объекты хранения и переработки растительного сырья, а также не своевременного предоставления информации об аварийности и инцидентах не выявлено. </w:t>
      </w:r>
    </w:p>
    <w:p w14:paraId="6310466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Был зарегистрирован 1 инцидент.</w:t>
      </w:r>
    </w:p>
    <w:p w14:paraId="026A012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части выполненных контрольно-проверочных мероприятий в течение 6 месяцев 2023 года административных и судебных </w:t>
      </w:r>
      <w:proofErr w:type="spellStart"/>
      <w:r w:rsidRPr="00FB2F9A">
        <w:rPr>
          <w:rFonts w:ascii="Times New Roman" w:hAnsi="Times New Roman"/>
          <w:sz w:val="28"/>
          <w:szCs w:val="28"/>
        </w:rPr>
        <w:t>оспариваний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не было.</w:t>
      </w:r>
    </w:p>
    <w:p w14:paraId="37BA712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отчётный период проведено 9 внеплановых проверки готовности предприятия к соблюдению лицензионных требований. </w:t>
      </w:r>
    </w:p>
    <w:p w14:paraId="069301E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Плановые проверки в отчётном периоде не проводились.</w:t>
      </w:r>
    </w:p>
    <w:p w14:paraId="50BC5ED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В течении 6 месяцев 2023 принято участие в 11 проверках с прокуратурой, в качестве специалистов. По итогам было выявлено 45 нарушений, на 3 должностных лица наложено 3 штрафа и вынесено 7 предупреждений. Взыскано 436,5 тысяч рублей.</w:t>
      </w:r>
    </w:p>
    <w:p w14:paraId="658E73B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непредставление отчётной информации об осуществлении производственного контроля в отчётном периоде наложено 2 административных взыскания на 2 юридических лица в виде предупреждения.</w:t>
      </w:r>
    </w:p>
    <w:p w14:paraId="24F9C34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FB2F9A">
        <w:rPr>
          <w:rFonts w:ascii="Times New Roman" w:hAnsi="Times New Roman"/>
          <w:sz w:val="28"/>
          <w:szCs w:val="28"/>
        </w:rPr>
        <w:t>целью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проведения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комплекса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профилактических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мероприятий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F9A">
        <w:rPr>
          <w:rFonts w:ascii="Times New Roman" w:hAnsi="Times New Roman"/>
          <w:sz w:val="28"/>
          <w:szCs w:val="28"/>
        </w:rPr>
        <w:t>направленных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на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соблюдение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организациями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F9A">
        <w:rPr>
          <w:rFonts w:ascii="Times New Roman" w:hAnsi="Times New Roman"/>
          <w:sz w:val="28"/>
          <w:szCs w:val="28"/>
        </w:rPr>
        <w:t>эксплуатирующими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опасные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производственные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объекты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хранения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2F9A">
        <w:rPr>
          <w:rFonts w:ascii="Times New Roman" w:hAnsi="Times New Roman"/>
          <w:sz w:val="28"/>
          <w:szCs w:val="28"/>
        </w:rPr>
        <w:t>переработки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растительного сырья </w:t>
      </w:r>
      <w:proofErr w:type="spellStart"/>
      <w:r w:rsidRPr="00FB2F9A">
        <w:rPr>
          <w:rFonts w:ascii="Times New Roman" w:hAnsi="Times New Roman"/>
          <w:sz w:val="28"/>
          <w:szCs w:val="28"/>
        </w:rPr>
        <w:t>требованиям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промышленной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безопасности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F9A">
        <w:rPr>
          <w:rFonts w:ascii="Times New Roman" w:hAnsi="Times New Roman"/>
          <w:sz w:val="28"/>
          <w:szCs w:val="28"/>
        </w:rPr>
        <w:t>Верхне-Донским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управлением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lastRenderedPageBreak/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проведены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29.03.2023, 21.06.2023, 23.06.2023 </w:t>
      </w:r>
      <w:proofErr w:type="spellStart"/>
      <w:r w:rsidRPr="00FB2F9A">
        <w:rPr>
          <w:rFonts w:ascii="Times New Roman" w:hAnsi="Times New Roman"/>
          <w:sz w:val="28"/>
          <w:szCs w:val="28"/>
        </w:rPr>
        <w:t>совещания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B2F9A">
        <w:rPr>
          <w:rFonts w:ascii="Times New Roman" w:hAnsi="Times New Roman"/>
          <w:sz w:val="28"/>
          <w:szCs w:val="28"/>
        </w:rPr>
        <w:t>представителями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поднадзорных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организаций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FB2F9A">
        <w:rPr>
          <w:rFonts w:ascii="Times New Roman" w:hAnsi="Times New Roman"/>
          <w:sz w:val="28"/>
          <w:szCs w:val="28"/>
        </w:rPr>
        <w:t>обсуждению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проблемных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вопросов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F9A">
        <w:rPr>
          <w:rFonts w:ascii="Times New Roman" w:hAnsi="Times New Roman"/>
          <w:sz w:val="28"/>
          <w:szCs w:val="28"/>
        </w:rPr>
        <w:t>связанных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B2F9A">
        <w:rPr>
          <w:rFonts w:ascii="Times New Roman" w:hAnsi="Times New Roman"/>
          <w:sz w:val="28"/>
          <w:szCs w:val="28"/>
        </w:rPr>
        <w:t>аварийностью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2F9A">
        <w:rPr>
          <w:rFonts w:ascii="Times New Roman" w:hAnsi="Times New Roman"/>
          <w:sz w:val="28"/>
          <w:szCs w:val="28"/>
        </w:rPr>
        <w:t>травматизмом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на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поднадзорных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объектах</w:t>
      </w:r>
      <w:proofErr w:type="spellEnd"/>
      <w:r w:rsidRPr="00FB2F9A">
        <w:rPr>
          <w:rFonts w:ascii="Times New Roman" w:hAnsi="Times New Roman"/>
          <w:sz w:val="28"/>
          <w:szCs w:val="28"/>
        </w:rPr>
        <w:t>.</w:t>
      </w:r>
    </w:p>
    <w:p w14:paraId="1CC5D43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B2F9A">
        <w:rPr>
          <w:rFonts w:ascii="Times New Roman" w:hAnsi="Times New Roman"/>
          <w:sz w:val="28"/>
          <w:szCs w:val="28"/>
        </w:rPr>
        <w:t>рамках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реформы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контрольно-надзорной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FB2F9A">
        <w:rPr>
          <w:rFonts w:ascii="Times New Roman" w:hAnsi="Times New Roman"/>
          <w:sz w:val="28"/>
          <w:szCs w:val="28"/>
        </w:rPr>
        <w:t>целях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повышения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информационной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открытости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28.02.2023 и 27.06.2023 в </w:t>
      </w:r>
      <w:proofErr w:type="spellStart"/>
      <w:r w:rsidRPr="00FB2F9A">
        <w:rPr>
          <w:rFonts w:ascii="Times New Roman" w:hAnsi="Times New Roman"/>
          <w:sz w:val="28"/>
          <w:szCs w:val="28"/>
        </w:rPr>
        <w:t>соответствии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с "</w:t>
      </w:r>
      <w:proofErr w:type="spellStart"/>
      <w:r w:rsidRPr="00FB2F9A">
        <w:rPr>
          <w:rFonts w:ascii="Times New Roman" w:hAnsi="Times New Roman"/>
          <w:sz w:val="28"/>
          <w:szCs w:val="28"/>
        </w:rPr>
        <w:t>Планом-графиком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проведения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публичных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обсуждений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правоприменительной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практики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территориальными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органами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Федеральной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службы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FB2F9A">
        <w:rPr>
          <w:rFonts w:ascii="Times New Roman" w:hAnsi="Times New Roman"/>
          <w:sz w:val="28"/>
          <w:szCs w:val="28"/>
        </w:rPr>
        <w:t>экологическому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F9A">
        <w:rPr>
          <w:rFonts w:ascii="Times New Roman" w:hAnsi="Times New Roman"/>
          <w:sz w:val="28"/>
          <w:szCs w:val="28"/>
        </w:rPr>
        <w:t>технологическому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2F9A">
        <w:rPr>
          <w:rFonts w:ascii="Times New Roman" w:hAnsi="Times New Roman"/>
          <w:sz w:val="28"/>
          <w:szCs w:val="28"/>
        </w:rPr>
        <w:t>атомному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надзору в 2023 </w:t>
      </w:r>
      <w:proofErr w:type="spellStart"/>
      <w:r w:rsidRPr="00FB2F9A">
        <w:rPr>
          <w:rFonts w:ascii="Times New Roman" w:hAnsi="Times New Roman"/>
          <w:sz w:val="28"/>
          <w:szCs w:val="28"/>
        </w:rPr>
        <w:t>году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FB2F9A">
        <w:rPr>
          <w:rFonts w:ascii="Times New Roman" w:hAnsi="Times New Roman"/>
          <w:sz w:val="28"/>
          <w:szCs w:val="28"/>
        </w:rPr>
        <w:t>утвержденным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распоряжением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Федеральной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службы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FB2F9A">
        <w:rPr>
          <w:rFonts w:ascii="Times New Roman" w:hAnsi="Times New Roman"/>
          <w:sz w:val="28"/>
          <w:szCs w:val="28"/>
        </w:rPr>
        <w:t>экологическому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F9A">
        <w:rPr>
          <w:rFonts w:ascii="Times New Roman" w:hAnsi="Times New Roman"/>
          <w:sz w:val="28"/>
          <w:szCs w:val="28"/>
        </w:rPr>
        <w:t>технологическому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2F9A">
        <w:rPr>
          <w:rFonts w:ascii="Times New Roman" w:hAnsi="Times New Roman"/>
          <w:sz w:val="28"/>
          <w:szCs w:val="28"/>
        </w:rPr>
        <w:t>атомному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надзору </w:t>
      </w:r>
      <w:proofErr w:type="spellStart"/>
      <w:r w:rsidRPr="00FB2F9A">
        <w:rPr>
          <w:rFonts w:ascii="Times New Roman" w:hAnsi="Times New Roman"/>
          <w:sz w:val="28"/>
          <w:szCs w:val="28"/>
        </w:rPr>
        <w:t>от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23.12.2022 №91-рп, </w:t>
      </w:r>
      <w:proofErr w:type="spellStart"/>
      <w:r w:rsidRPr="00FB2F9A">
        <w:rPr>
          <w:rFonts w:ascii="Times New Roman" w:hAnsi="Times New Roman"/>
          <w:sz w:val="28"/>
          <w:szCs w:val="28"/>
        </w:rPr>
        <w:t>состоялись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публичные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обсуждения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правоприменительной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практики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Верхне-Донского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>.</w:t>
      </w:r>
    </w:p>
    <w:p w14:paraId="6C6BE04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целях обеспечения противоаварийной устойчивости объектов предприятий взрывопожароопасных объектов хранения и переработки растительного сырья в условиях резкого изменения погодных условий, связанных с надвигающимся аномальным похолоданием, особенно в европейской части Российской Федерации, в рамках оперативного взаимодействия с поднадзорными организациями, принятия дополнительных мер по обеспечению устойчивого функционирования опасных производственных объектов (далее – ОПО) в условиях низких температур в январе 2023 года во исполнение письма заместителя руководителя Федеральной службы по экологическому, технологическому и атомному надзору </w:t>
      </w:r>
      <w:r w:rsidRPr="00FB2F9A">
        <w:rPr>
          <w:rFonts w:ascii="Times New Roman" w:hAnsi="Times New Roman"/>
          <w:sz w:val="28"/>
          <w:szCs w:val="28"/>
        </w:rPr>
        <w:br/>
        <w:t xml:space="preserve">В.В. </w:t>
      </w:r>
      <w:proofErr w:type="spellStart"/>
      <w:r w:rsidRPr="00FB2F9A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06.01.2023 №00-08-05/1 «О мерах по обеспечению устойчивого функционирования ОПО в период аномальных холодов» в поднадзорные организации направлены информационные письма от 10.01.2023 №№223-13, №220-16.</w:t>
      </w:r>
    </w:p>
    <w:p w14:paraId="018805D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целях профилактики травматизма на взрывопожароопасных объектах хранения и переработки растительного сырья, а также усовершенствования контрольно-надзорной работы в Верхне-Донском управлении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, с учетом проработки информации, указанной в письмах (заместителя руководителя Федеральной службы по экологическому, технологическому и атомному надзору В.В. </w:t>
      </w:r>
      <w:proofErr w:type="spellStart"/>
      <w:r w:rsidRPr="00FB2F9A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30.12.2022 №00-08-05/1204 «О предупреждении рисков аварийных ситуаций, связанных с возгораниями зерносушильной техники», заместителя руководителя Федеральной службы по экологическому, технологическому и атомному надзору В.В. </w:t>
      </w:r>
      <w:proofErr w:type="spellStart"/>
      <w:r w:rsidRPr="00FB2F9A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25.01.2023 №00-08-05/85 «О состоянии аварийности и смертельного травматизма на взрывопожароопасных объектах хранения и переработки растительного сырья в 2022 г.», заместителя руководителя Федеральной службы по экологическому, технологическому и атомному надзору В.В. </w:t>
      </w:r>
      <w:proofErr w:type="spellStart"/>
      <w:r w:rsidRPr="00FB2F9A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12.04.2023 №00-08-05/411 «О результатах технического расследования аварии на складе силосного типа, эксплуатируемом </w:t>
      </w:r>
      <w:r w:rsidRPr="00FB2F9A">
        <w:rPr>
          <w:rFonts w:ascii="Times New Roman" w:hAnsi="Times New Roman"/>
          <w:sz w:val="28"/>
          <w:szCs w:val="28"/>
        </w:rPr>
        <w:lastRenderedPageBreak/>
        <w:t xml:space="preserve">ООО «Русь» (Пермский край)», начальника Управления общепромышленного надзора Федеральной службы по экологическому, технологическому и атомному надзору М.В. Фоминых от 21.04.2023 №08-00-08/226 «О предупреждении рисков аварийных ситуаций, связанных с возгораниями зерноскладов», начальника Управления общепромышленного надзора Федеральной службы по экологическому, технологическому и атомному надзору М.В. Фоминых от 20.04.2023 №08-00-08/223 «О проведении расследования аварий на объектах хранения и переработки растительного сырья», заместителя руководителя Федеральной службы по экологическому, технологическому и атомному надзору В.В. </w:t>
      </w:r>
      <w:proofErr w:type="spellStart"/>
      <w:r w:rsidRPr="00FB2F9A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26.04.2023 №00-08-05/463 «О предупреждении рисков аварийных ситуаций, связанных с возгораниями на деревообрабатывающих предприятиях», а также в целях предотвращения подобных ситуаций на иных, аналогичного типа объектах, эксплуатация которых сопряжена с повышенными рисками </w:t>
      </w:r>
      <w:proofErr w:type="spellStart"/>
      <w:r w:rsidRPr="00FB2F9A">
        <w:rPr>
          <w:rFonts w:ascii="Times New Roman" w:hAnsi="Times New Roman"/>
          <w:sz w:val="28"/>
          <w:szCs w:val="28"/>
        </w:rPr>
        <w:t>взрывопожаробезопасности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Верхне-Донским управлением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>, проводились мероприятия, направленные на профилактику нарушений требований промышленной безопасности на поднадзорных объектах.</w:t>
      </w:r>
    </w:p>
    <w:p w14:paraId="5A55FC1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течении 6 месяцев 2023 на поднадзорные предприятия были направлены следующие информационные письма: 10.01.2023 №№ 220-16,220-21, 13.01.2023 № 224-51, 16.01.2023 № 222-43, 17.01.2023 №223-51, 27.01.2023 №№223-118, 224-51, 01.02.2023 №№ 220-364, 220-375, 20.03.2023 № 220-1064, 14.04.2023 </w:t>
      </w:r>
      <w:r w:rsidRPr="00FB2F9A">
        <w:rPr>
          <w:rFonts w:ascii="Times New Roman" w:hAnsi="Times New Roman"/>
          <w:sz w:val="28"/>
          <w:szCs w:val="28"/>
        </w:rPr>
        <w:br/>
        <w:t xml:space="preserve">№№ 220-1512, 224-674, 18.04.2023 №223-518, 24.04.2023 №№223-591, 220-1625, 220-1626, 25.04.2023 № 224-749, от 26.04.2023 №223-617, от 28.04.2023 </w:t>
      </w:r>
      <w:r w:rsidRPr="00FB2F9A">
        <w:rPr>
          <w:rFonts w:ascii="Times New Roman" w:hAnsi="Times New Roman"/>
          <w:sz w:val="28"/>
          <w:szCs w:val="28"/>
        </w:rPr>
        <w:br/>
        <w:t xml:space="preserve">№223-633, 03.05.23 № 220-1770 для принятия мер по предупреждению аварийности и травматизма, с информированием территориального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>.</w:t>
      </w:r>
    </w:p>
    <w:p w14:paraId="2FB44A5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В I полугодии 2023 года применены меры профилактического воздействия в виде объявления 10 предостережений о недопустимости нарушения обязательных требований.</w:t>
      </w:r>
    </w:p>
    <w:p w14:paraId="3295681D" w14:textId="25098FEF" w:rsid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Заявления от эксплуатирующих ОПО организаций об оценки их добросовестности не поступали. Меры стимулирования добросовестности не применялись.</w:t>
      </w:r>
    </w:p>
    <w:p w14:paraId="7AE38A54" w14:textId="77777777" w:rsid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67F4E2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Федеральный государственный надзор за объектами химического комплекса</w:t>
      </w:r>
    </w:p>
    <w:p w14:paraId="642A57A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72259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6 месяцев 2023 года количество поднадзорных организаций, эксплуатирующих опасные производственные объекты химического комплекса составило 237.</w:t>
      </w:r>
    </w:p>
    <w:p w14:paraId="0119165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 xml:space="preserve">За 6 месяцев 2023 года территориальным управлением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проведено </w:t>
      </w:r>
      <w:proofErr w:type="gramStart"/>
      <w:r w:rsidRPr="00FB2F9A">
        <w:rPr>
          <w:rFonts w:ascii="Times New Roman" w:hAnsi="Times New Roman"/>
          <w:sz w:val="28"/>
          <w:szCs w:val="28"/>
        </w:rPr>
        <w:t>58  проверок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в отношении организаций, эксплуатирующих опасные производственные объекты химического комплекса.</w:t>
      </w:r>
    </w:p>
    <w:p w14:paraId="3A7A73C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ходе проверок было выявлено: общее количество правонарушений на опасных производственных объектах химического комплекса – 139, количество устраненных правонарушений на опасных производственных объектах – 120. </w:t>
      </w:r>
    </w:p>
    <w:p w14:paraId="06B7616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442134E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48F7D63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66E0DFD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нарушения при проведении аттестации специалистов и обучения рабочего персонала.</w:t>
      </w:r>
    </w:p>
    <w:p w14:paraId="5BF7B38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FB2F9A">
        <w:rPr>
          <w:rFonts w:ascii="Times New Roman" w:hAnsi="Times New Roman"/>
          <w:sz w:val="28"/>
          <w:szCs w:val="28"/>
        </w:rPr>
        <w:t>итогам  проверок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за 6 месяцев 2023 года по фактам выявленных нарушений возбуждены дела об административных правонарушениях. По результатам рассмотрения дел об административных правонарушениях вынесено 12 постановлений о назначении административных наказаний, из них: 11 – предупреждений и 1 </w:t>
      </w:r>
      <w:proofErr w:type="gramStart"/>
      <w:r w:rsidRPr="00FB2F9A">
        <w:rPr>
          <w:rFonts w:ascii="Times New Roman" w:hAnsi="Times New Roman"/>
          <w:sz w:val="28"/>
          <w:szCs w:val="28"/>
        </w:rPr>
        <w:t>административный  штраф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 на должностное лицо на сумму  42,0  тыс. руб. Вынесено 4 предостережения. Дисквалификация в отношении должностных лиц организаций, эксплуатирующих </w:t>
      </w:r>
      <w:proofErr w:type="gramStart"/>
      <w:r w:rsidRPr="00FB2F9A">
        <w:rPr>
          <w:rFonts w:ascii="Times New Roman" w:hAnsi="Times New Roman"/>
          <w:sz w:val="28"/>
          <w:szCs w:val="28"/>
        </w:rPr>
        <w:t>опасные производственные объекты химического комплекса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не применялась. </w:t>
      </w:r>
    </w:p>
    <w:p w14:paraId="48AF81B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его должностных лиц за 6 месяцев 2023 года по направлению федерального государственного надзора в области промышленной безопасности на объектах химического комплекса не применялись.</w:t>
      </w:r>
    </w:p>
    <w:p w14:paraId="100FEF0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516CB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C51A93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на объектах нефтехимической </w:t>
      </w:r>
      <w:r w:rsidRPr="00FB2F9A">
        <w:rPr>
          <w:rFonts w:ascii="Times New Roman" w:hAnsi="Times New Roman"/>
          <w:b/>
          <w:sz w:val="28"/>
          <w:szCs w:val="28"/>
        </w:rPr>
        <w:br/>
        <w:t>и нефтегазоперерабатывающей промышленности и на объектах нефтепродуктообеспечения</w:t>
      </w:r>
    </w:p>
    <w:p w14:paraId="38994EA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6BEB1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6 месяцев 2023 года количество поднадзорных организаций, эксплуатирующих опасные производственные объекты нефтехимической промышленности и объекты нефтепродуктообеспечения составило 176.</w:t>
      </w:r>
    </w:p>
    <w:p w14:paraId="0326733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отчетный период были проведены 2 плановых проверки, 1 внеплановая проверок, из них: 1 - по обращению граждан, о фактах нарушений обязательных </w:t>
      </w:r>
      <w:r w:rsidRPr="00FB2F9A">
        <w:rPr>
          <w:rFonts w:ascii="Times New Roman" w:hAnsi="Times New Roman"/>
          <w:sz w:val="28"/>
          <w:szCs w:val="28"/>
        </w:rPr>
        <w:lastRenderedPageBreak/>
        <w:t xml:space="preserve">требований при эксплуатации зданий, помещений, сооружений, технических устройств, создающие угрозу причинения вреда жизни, здоровью людей, вреда животным, растениям, окружающей </w:t>
      </w:r>
      <w:proofErr w:type="gramStart"/>
      <w:r w:rsidRPr="00FB2F9A">
        <w:rPr>
          <w:rFonts w:ascii="Times New Roman" w:hAnsi="Times New Roman"/>
          <w:sz w:val="28"/>
          <w:szCs w:val="28"/>
        </w:rPr>
        <w:t>среде,  30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проверок в рамках постоянного государственного надзора. </w:t>
      </w:r>
    </w:p>
    <w:p w14:paraId="751F2F7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В ходе проверок было выявлено: общее количество правонарушений на опасных производственных объектах 254, количество устраненных правонарушений на опасных производственных объектах – 230.</w:t>
      </w:r>
    </w:p>
    <w:p w14:paraId="486BE4C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6E35B33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1D28180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процессов.</w:t>
      </w:r>
    </w:p>
    <w:p w14:paraId="262F558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По результатам проверок за 6 месяцев 2023 года, наложено административных наказаний в отношении организаций, эксплуатирующих опасные производственные объекты нефтехимической промышленности и объекты нефтепродуктообеспечения и должностных лиц – 5, из них 1 предупреждение, 1 административная приостановление деятельности по эксплуатации технических устройств опасных производственных объектов и 3 административных штрафа  на должностное лицо на сумму  60,0  тыс. руб. Дисквалификация в отношении должностных лиц организаций, эксплуатирующих опасные производственные объекты нефтехимической промышленности и объектах нефтепродуктообеспечения не применялась. </w:t>
      </w:r>
    </w:p>
    <w:p w14:paraId="00F02B3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его должностных лиц за 6 месяцев 2023 года по направлению федерального государственного надзора в области промышленной безопасности на объектах нефтехимической промышленности и объектах нефтепродуктообеспечения не применялись.</w:t>
      </w:r>
    </w:p>
    <w:p w14:paraId="18B62E9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269314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Федеральный государственный надзор за объектами предприятий оборонно-промышленного комплекса</w:t>
      </w:r>
    </w:p>
    <w:p w14:paraId="02E5300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70893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Надзор за объектами оборонно-промышленного комплекса (далее – ОПК), на которых обращаются химически опасные вещества, в том числе взрывчатые вещества и изделия, их содержащие, осуществляется в отношении 18 объектов, в том числе: объекты I класса опасности – 11 </w:t>
      </w:r>
    </w:p>
    <w:p w14:paraId="514D178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  За отчетный период было проведено 62 проверки по постоянному государственному надзору (ПГН). В процессе осуществления надзорной деятельности было выявлено 76 нарушений требований промышленной </w:t>
      </w:r>
      <w:r w:rsidRPr="00FB2F9A">
        <w:rPr>
          <w:rFonts w:ascii="Times New Roman" w:hAnsi="Times New Roman"/>
          <w:sz w:val="28"/>
          <w:szCs w:val="28"/>
        </w:rPr>
        <w:lastRenderedPageBreak/>
        <w:t xml:space="preserve">безопасности при эксплуатации опасных производственных объектов.  По результатам проверок за 6 месяцев 2023 года наложено общее количество административных наказаний в отношении должностных лиц и организаций, эксплуатирующих опасные производственные объекты оборонно-промышленного комплекса 6 наказаний, из них: </w:t>
      </w:r>
      <w:proofErr w:type="gramStart"/>
      <w:r w:rsidRPr="00FB2F9A">
        <w:rPr>
          <w:rFonts w:ascii="Times New Roman" w:hAnsi="Times New Roman"/>
          <w:sz w:val="28"/>
          <w:szCs w:val="28"/>
        </w:rPr>
        <w:t>4  предупреждения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2 административных штрафа на  должностное лицо. Общая сумма штрафов составляет 35,0 </w:t>
      </w:r>
      <w:proofErr w:type="spellStart"/>
      <w:r w:rsidRPr="00FB2F9A">
        <w:rPr>
          <w:rFonts w:ascii="Times New Roman" w:hAnsi="Times New Roman"/>
          <w:sz w:val="28"/>
          <w:szCs w:val="28"/>
        </w:rPr>
        <w:t>тыс.руб</w:t>
      </w:r>
      <w:proofErr w:type="spellEnd"/>
      <w:r w:rsidRPr="00FB2F9A">
        <w:rPr>
          <w:rFonts w:ascii="Times New Roman" w:hAnsi="Times New Roman"/>
          <w:sz w:val="28"/>
          <w:szCs w:val="28"/>
        </w:rPr>
        <w:t>. Вынесено 22 предостережение.</w:t>
      </w:r>
    </w:p>
    <w:p w14:paraId="158C77A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При проверках фиксируются характерные для предприятий ОПК нарушения:</w:t>
      </w:r>
    </w:p>
    <w:p w14:paraId="48D6856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имеются нарушения при ведении эксплуатационной и ремонтной документации;</w:t>
      </w:r>
    </w:p>
    <w:p w14:paraId="68C97EF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неисправность технических устройств;</w:t>
      </w:r>
    </w:p>
    <w:p w14:paraId="15179CF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нарушения при эксплуатации зданий.</w:t>
      </w:r>
    </w:p>
    <w:p w14:paraId="45ECCEF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его должностных лиц за 6 месяцев 2023 года по направлению федерального государственного надзора в области промышленной безопасности на объектах ОПК не применялись.</w:t>
      </w:r>
    </w:p>
    <w:p w14:paraId="04A19245" w14:textId="77777777" w:rsid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F266C2" w14:textId="33F576BB" w:rsidR="00FB2F9A" w:rsidRPr="00FB2F9A" w:rsidRDefault="00FB2F9A" w:rsidP="00FB2F9A">
      <w:pPr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Федеральный государственный надзор за объектами металлургической промышленности</w:t>
      </w:r>
    </w:p>
    <w:p w14:paraId="6AD8BD6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6C901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6 месяцев 2023 года количество поднадзорных опасных производственных объектов металлургической промышленности 101. Один объект - I класса опасности. </w:t>
      </w:r>
    </w:p>
    <w:p w14:paraId="6BE0CFB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отчетный период территориальным управлением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проведено 29 проверок в отношении организаций, эксплуатирующих опасные производственные объекты металлургии, из них: 4 </w:t>
      </w:r>
      <w:proofErr w:type="gramStart"/>
      <w:r w:rsidRPr="00FB2F9A">
        <w:rPr>
          <w:rFonts w:ascii="Times New Roman" w:hAnsi="Times New Roman"/>
          <w:sz w:val="28"/>
          <w:szCs w:val="28"/>
        </w:rPr>
        <w:t>плановых,  25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проверок в рамках режима постоянного государственного надзора</w:t>
      </w:r>
    </w:p>
    <w:p w14:paraId="2A8EA2F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ходе проверок было выявлено 81 нарушение требований промышленной безопасности. </w:t>
      </w:r>
    </w:p>
    <w:p w14:paraId="3D0D8ED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4C2E2DD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22A1797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27BE3E8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нарушения при проведении аттестации специалистов и обучения рабочего персонала. </w:t>
      </w:r>
    </w:p>
    <w:p w14:paraId="48706DA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>недостаточный уровень производственного контроля со стороны руководителей и специалистов при эксплуатации опасных производственных объектов;</w:t>
      </w:r>
    </w:p>
    <w:p w14:paraId="1C2C29A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неудовлетворительная организация и проведение работ по техническому обслуживанию и ремонту технологического оборудования, зданий и сооружений, в том числе работ повышенной опасности;</w:t>
      </w:r>
    </w:p>
    <w:p w14:paraId="654731D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несвоевременное проведение экспертизы промышленной безопасности зданий и сооружений, технических устройств, применяемых на опасных производственных объектах.</w:t>
      </w:r>
    </w:p>
    <w:p w14:paraId="775062E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FB2F9A">
        <w:rPr>
          <w:rFonts w:ascii="Times New Roman" w:hAnsi="Times New Roman"/>
          <w:sz w:val="28"/>
          <w:szCs w:val="28"/>
        </w:rPr>
        <w:t>итогам  проверок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за 6 месяцев 2023 года по фактам выявленных нарушений возбуждены дела об административных правонарушениях. По результатам рассмотрения дел об административных правонарушениях вынесено 18 постановлений о назначении административных наказаний, из них: 4 – предупреждения и 14 административных штрафа (на должностные лица) на </w:t>
      </w:r>
      <w:proofErr w:type="gramStart"/>
      <w:r w:rsidRPr="00FB2F9A">
        <w:rPr>
          <w:rFonts w:ascii="Times New Roman" w:hAnsi="Times New Roman"/>
          <w:sz w:val="28"/>
          <w:szCs w:val="28"/>
        </w:rPr>
        <w:t>сумму  294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,0  тыс. руб.  </w:t>
      </w:r>
      <w:proofErr w:type="gramStart"/>
      <w:r w:rsidRPr="00FB2F9A">
        <w:rPr>
          <w:rFonts w:ascii="Times New Roman" w:hAnsi="Times New Roman"/>
          <w:sz w:val="28"/>
          <w:szCs w:val="28"/>
        </w:rPr>
        <w:t>Вынесено  2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предостережения. Дисквалификация в отношении должностных лиц организаций, эксплуатирующих </w:t>
      </w:r>
      <w:proofErr w:type="gramStart"/>
      <w:r w:rsidRPr="00FB2F9A">
        <w:rPr>
          <w:rFonts w:ascii="Times New Roman" w:hAnsi="Times New Roman"/>
          <w:sz w:val="28"/>
          <w:szCs w:val="28"/>
        </w:rPr>
        <w:t>опасные производственные объекты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не применялась. </w:t>
      </w:r>
    </w:p>
    <w:p w14:paraId="61EEB7D7" w14:textId="2FD84524" w:rsid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и его должностных лиц за 6 месяцев 2023 года по направлению федерального государственного надзора в области промышленной безопасности на объектах </w:t>
      </w:r>
      <w:proofErr w:type="gramStart"/>
      <w:r w:rsidRPr="00FB2F9A">
        <w:rPr>
          <w:rFonts w:ascii="Times New Roman" w:hAnsi="Times New Roman"/>
          <w:sz w:val="28"/>
          <w:szCs w:val="28"/>
        </w:rPr>
        <w:t>металлургического  надзора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не применялись.</w:t>
      </w:r>
    </w:p>
    <w:p w14:paraId="16E1556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043978" w14:textId="1B70DF9A" w:rsid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Pr="00FB2F9A">
        <w:rPr>
          <w:rFonts w:ascii="Times New Roman" w:hAnsi="Times New Roman"/>
          <w:b/>
          <w:sz w:val="28"/>
          <w:szCs w:val="28"/>
        </w:rPr>
        <w:br/>
        <w:t xml:space="preserve">а также государственный контроль (надзор) за соблюдением требований технических регламентов Таможенного союза: «Безопасность лифтов»   </w:t>
      </w:r>
      <w:r w:rsidRPr="00FB2F9A">
        <w:rPr>
          <w:rFonts w:ascii="Times New Roman" w:hAnsi="Times New Roman"/>
          <w:b/>
          <w:sz w:val="28"/>
          <w:szCs w:val="28"/>
        </w:rPr>
        <w:br/>
        <w:t xml:space="preserve">(ТР ТС 011/2011); «О безопасности машин и оборудования» </w:t>
      </w:r>
      <w:r w:rsidRPr="00FB2F9A">
        <w:rPr>
          <w:rFonts w:ascii="Times New Roman" w:hAnsi="Times New Roman"/>
          <w:b/>
          <w:sz w:val="28"/>
          <w:szCs w:val="28"/>
        </w:rPr>
        <w:br/>
        <w:t>(ТР ТС 010/2011); «О безопасности оборудования, работающего под избыточным давлением» (ТР ТС 032/2013).</w:t>
      </w:r>
    </w:p>
    <w:p w14:paraId="543EE95E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BBBA5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При осуществлении данного вида государственного надзора применяются следующие основные нормативные правовые акты:</w:t>
      </w:r>
    </w:p>
    <w:p w14:paraId="76E7B5A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 (далее – Федеральный закон № 116-ФЗ);</w:t>
      </w:r>
    </w:p>
    <w:p w14:paraId="322FB32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>Федеральный закон от 4 мая 2011 г. № 99-ФЗ «О лицензировании отдельных видов деятельности»;</w:t>
      </w:r>
    </w:p>
    <w:p w14:paraId="6AF91C5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 </w:t>
      </w:r>
      <w:r w:rsidRPr="00FB2F9A">
        <w:rPr>
          <w:rFonts w:ascii="Times New Roman" w:hAnsi="Times New Roman"/>
          <w:sz w:val="28"/>
          <w:szCs w:val="28"/>
        </w:rPr>
        <w:tab/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FB2F9A">
        <w:rPr>
          <w:rFonts w:ascii="Times New Roman" w:hAnsi="Times New Roman"/>
          <w:sz w:val="28"/>
          <w:szCs w:val="28"/>
        </w:rPr>
        <w:br/>
        <w:t>за причинение вреда в результате аварии на опасном объекте»;</w:t>
      </w:r>
    </w:p>
    <w:p w14:paraId="71C1E7E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утвержденные приказом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25 марта 2014 г. № 116 (далее – ФНП ОРПД);</w:t>
      </w:r>
    </w:p>
    <w:p w14:paraId="36EAC47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26 ноября 2020 г. № 461 (далее – ФНП по ПС);</w:t>
      </w:r>
    </w:p>
    <w:p w14:paraId="677FD59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3 декабря 2020 г. № 487;</w:t>
      </w:r>
    </w:p>
    <w:p w14:paraId="2E31927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эскалаторов в метрополитенах», утвержденные приказом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3 декабря 2020 г. № 488;</w:t>
      </w:r>
    </w:p>
    <w:p w14:paraId="3ECDABB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13 ноября 2020 г. № 441;</w:t>
      </w:r>
    </w:p>
    <w:p w14:paraId="7340567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Pr="00FB2F9A">
        <w:rPr>
          <w:rFonts w:ascii="Times New Roman" w:hAnsi="Times New Roman"/>
          <w:sz w:val="28"/>
          <w:szCs w:val="28"/>
        </w:rPr>
        <w:br/>
        <w:t>в метрополитенах», утвержденные постановлением Правительства Российской Федерации от 24 июня 2017 г. № 743 (в редакции от 22.12.2018);</w:t>
      </w:r>
    </w:p>
    <w:p w14:paraId="06417FF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от 21 ноября 2016 г. № 490.</w:t>
      </w:r>
    </w:p>
    <w:p w14:paraId="19D7599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По состоянию на 30.06.2023 общее количество подъемных сооружений (далее – ПС), эксплуатируемых на опасных производственных объектах (далее – ОПО), находящихся на территории подконтрольной Управлению, составляет 15584 </w:t>
      </w:r>
      <w:r w:rsidRPr="00FB2F9A">
        <w:rPr>
          <w:rFonts w:ascii="Times New Roman" w:hAnsi="Times New Roman"/>
          <w:sz w:val="28"/>
          <w:szCs w:val="28"/>
        </w:rPr>
        <w:lastRenderedPageBreak/>
        <w:t>единицы (Белгородская область - 2834; Воронежская область - 4555; Курская область - 1906; Липецкая область – 4631; Тамбовская область - 1658), из них:</w:t>
      </w:r>
    </w:p>
    <w:p w14:paraId="7594991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- 13130 грузоподъемных кранов (Белгородская область - 2352; Воронежская область - 3794; Курская область - 1570; Липецкая область – 4076; Тамбовская область - 1338);</w:t>
      </w:r>
    </w:p>
    <w:p w14:paraId="60C12F9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- 1957 подъемников-вышек (Белгородская область – 322; Воронежская область - 577; Курская область - 296; Липецкая область – 468; Тамбовская область - 294);</w:t>
      </w:r>
    </w:p>
    <w:p w14:paraId="6E4C7F6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- 3 подвесных пассажирских канатных дороги (Белгородская область – 3);</w:t>
      </w:r>
    </w:p>
    <w:p w14:paraId="07C0D62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- 20 буксировочных канатных дорог (Воронежская область - 7; Курская область - 1; Липецкая область – 10; Тамбовская область - 2);</w:t>
      </w:r>
    </w:p>
    <w:p w14:paraId="0BE39AE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- 474 строительных подъемников (Белгородская область - 157; Воронежская область - 177; Курская область - 39; Липецкая область – 77; Тамбовская область - 24).</w:t>
      </w:r>
    </w:p>
    <w:p w14:paraId="35BABE3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Согласно Федеральному закону № 116-ФЗ ОПО, на которых используются подъемные сооружения, в отсутствие на объекте иных признаков опасности, установленных приложением 1 к названному федеральному закону, относятся к IV классу опасности, и плановым проверкам не подлежат. </w:t>
      </w:r>
    </w:p>
    <w:p w14:paraId="581F976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6 месяцев 2023 года в  рамках надзора за соблюдением требований промышленной безопасности на ОПО, в составе  которых используются подъемные сооружения (далее – ОПО с ПС), в целом по Управлению проведены  24 проверки (Белгородская область – 2, Воронежская область - 19; Курская область - 0; Липецкая область – 3; Тамбовская область - 0), из них плановых – 3 (Белгородская область – 2, Воронежская область - 0; Курская область - 0; Липецкая область – 1; Тамбовская область - 0),  внеплановых – 2 (Белгородская область – 0, Воронежская область - 2; Курская область - 0; Липецкая область – 0; Тамбовская область - 0),  проведенных в режиме постоянного государственного надзора – 19 (Белгородская область – 0, Воронежская область - 17; Курская область - 0; Липецкая область – 2; Тамбовская область - 0). </w:t>
      </w:r>
    </w:p>
    <w:p w14:paraId="4EFFFAF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ходе проверок в целом по Управлению выявлено 116 нарушений обязательных требований, установленных действующим законодательством (Белгородская область – 49, Воронежская область - 47; Курская область - 0; Липецкая область – 20; Тамбовская область - 0). </w:t>
      </w:r>
    </w:p>
    <w:p w14:paraId="4D4BF0E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 территории Белгородской области к административной ответственности за правонарушения, предусмотренные ст. 9.1 КоАП РФ по делам, возбужденным сотрудниками, осуществляющими надзор за подъёмными сооружениями, привлечено 49 юридических лиц. При этом за </w:t>
      </w:r>
      <w:proofErr w:type="spellStart"/>
      <w:r w:rsidRPr="00FB2F9A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сведений об организации производственного контроля до 1 апреля соответствующего </w:t>
      </w:r>
      <w:r w:rsidRPr="00FB2F9A">
        <w:rPr>
          <w:rFonts w:ascii="Times New Roman" w:hAnsi="Times New Roman"/>
          <w:sz w:val="28"/>
          <w:szCs w:val="28"/>
        </w:rPr>
        <w:lastRenderedPageBreak/>
        <w:t>календарного года юридическим лицам с учетом требований ст. 4.1_1 КоАП РФ назначены наказания в виде предупреждения.</w:t>
      </w:r>
    </w:p>
    <w:p w14:paraId="7565D4F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Административные наказания в виде административного приостановления деятельности при эксплуатации подъемных сооружений на территории Белгородской области за период 6 месяцев 2023 года не применялись.</w:t>
      </w:r>
    </w:p>
    <w:p w14:paraId="5EA6E12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территории Воронежской области к административной ответственности за правонарушения, предусмотренные ст. 9.1 КоАП РФ по делам, возбужденным сотрудниками, осуществляющими надзор за подъёмными сооружениями, привлечены 3 должностных лица и 3 юридических лица. За допущенные нарушения, создающие угрозу причинения вреда жизни, здоровью людей, одному юридическому лицу назначено наказание в виде административного приостановления деятельности по эксплуатации грузоподъемных кранов на срок 90 суток. В остальных случаях с учетом требований ст. 4.1_1 КоАП РФ юридическим лицам за непредставление сведений о производственном контроле назначено наказание в виде административного предупреждения.</w:t>
      </w:r>
    </w:p>
    <w:p w14:paraId="4318EA57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Должностные лица привлечены к административной ответственности за нарушения, выявленные в рамках постоянного надзора на опасных производственных объектах 1 класса опасности. В одном случае по итогам рассмотрения дела об административном правонарушении должностному лицу назначена наказание в виде административного штрафа на сумму 20 тысяч рублей. В остальных случаях с учетом требований ст. 4.1_1 КоАП РФ должностным лицам назначено наказание в виде административного предупреждения.</w:t>
      </w:r>
    </w:p>
    <w:p w14:paraId="2DE2DC8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Также в первом полугодии сотрудниками, осуществляющими надзор за подъёмными сооружениями, сотрудниками, осуществляющими надзор за подъёмными сооружениями на территории Воронежской области, рассмотрено 4 административных дела, возбужденных по ст. 9.1 КоАП РФ прокурорами в отношении должностных лиц, допустивших нарушения требований промышленной безопасности.    По итогам рассмотрения указанных дел об административном правонарушении должностным лицам назначено наказание в виде административного штрафа. Общая сумма административного штрафа наложенного по итогам рассмотрения административных дел, возбужденных прокурорами, составляет 80 тысяч рублей.</w:t>
      </w:r>
    </w:p>
    <w:p w14:paraId="7333077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 территории Курской области к административной ответственности за правонарушения, предусмотренные частью 1 ст. 9.1 и ст. 19.19 КоАП РФ по делам, возбужденным сотрудниками, осуществляющими надзор за подъёмными сооружениями, привлечено 11 юридических лиц, которым назначено наказание в виде предупреждения. с учетом требований ст. 4.1_1 КоАП РФ </w:t>
      </w:r>
    </w:p>
    <w:p w14:paraId="07B2A46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 территории Липецкой области сотрудники, осуществляющие надзор за подъёмными сооружениями </w:t>
      </w:r>
      <w:proofErr w:type="gramStart"/>
      <w:r w:rsidRPr="00FB2F9A">
        <w:rPr>
          <w:rFonts w:ascii="Times New Roman" w:hAnsi="Times New Roman"/>
          <w:sz w:val="28"/>
          <w:szCs w:val="28"/>
        </w:rPr>
        <w:t>к административной ответственности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не привлекали.</w:t>
      </w:r>
    </w:p>
    <w:p w14:paraId="6B597ED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 xml:space="preserve">На территории Тамбовской области к административной ответственности за правонарушения, предусмотренные частью 1 ст. 9.1 КоАП РФ, сотрудниками, осуществляющими надзор за подъёмными сооружениями при рассмотрении дел, в том числе, поступивших от органов прокуратуры, привлечено 1 должностное лицо (штраф). </w:t>
      </w:r>
    </w:p>
    <w:p w14:paraId="6364219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Количество мероприятий по контролю в рамках пуска в работу ПС </w:t>
      </w:r>
      <w:proofErr w:type="gramStart"/>
      <w:r w:rsidRPr="00FB2F9A">
        <w:rPr>
          <w:rFonts w:ascii="Times New Roman" w:hAnsi="Times New Roman"/>
          <w:sz w:val="28"/>
          <w:szCs w:val="28"/>
        </w:rPr>
        <w:t>в случаях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установленных ФНП по ПС на ОПО с ПС, инициированных обращением поднадзорных организаций в первом полугодии 2022 года составило 143 (Белгородская область – 4, Воронежская область - 73; Курская область -12; Липецкая область – 8; Тамбовская область - 46). </w:t>
      </w:r>
    </w:p>
    <w:p w14:paraId="1369D19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используются ПС, относятся:</w:t>
      </w:r>
    </w:p>
    <w:p w14:paraId="5D9B1E2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применение по назначению грузоподъёмных машин без проведения организационных и технических мероприятий по продлению сроков их безопасной эксплуатации;</w:t>
      </w:r>
    </w:p>
    <w:p w14:paraId="22E04E6E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эксплуатация грузоподъёмных машин, имеющих неисправности приборов и систем безопасности;</w:t>
      </w:r>
    </w:p>
    <w:p w14:paraId="122D956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ввод в эксплуатацию ПС с нарушением требований федеральных норм и правил в области промышленной безопасности;</w:t>
      </w:r>
    </w:p>
    <w:p w14:paraId="79C92FC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несоответствие установки ПС проектам производства работ, а подчас и отсутствие последних на местах ведения строительно-монтажных работ;</w:t>
      </w:r>
    </w:p>
    <w:p w14:paraId="363C1C8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допуск к обслуживанию ПС специалистов и персонала, квалификация которых не соответствует выполняемым ими трудовым функциям, отсутствие соответствующих распорядительных документов в эксплуатирующих организациях о допуске персонала к работе с ПС;</w:t>
      </w:r>
    </w:p>
    <w:p w14:paraId="3B1F122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отсутствие контроля со стороны руководителей предприятий за выявлением и профилактикой нарушений при проведении проверок ответственными лицами и службами производственного контроля;</w:t>
      </w:r>
    </w:p>
    <w:p w14:paraId="3207407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14:paraId="5B413C8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14:paraId="70BC917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применение ПС в отсутствие у их владельца руководств по эксплуатации заводов-изготовителей.</w:t>
      </w:r>
    </w:p>
    <w:p w14:paraId="0D263EF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>- эксплуатация крановых путей и электрооборудования грузоподъемных кранов осуществляется с отступлением от установленных требований промышленной безопасности.</w:t>
      </w:r>
    </w:p>
    <w:p w14:paraId="0F49E8B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По состоянию на 30.06.2023 согласно учетным данным общее количество опасных   технических   устройств   зданий и сооружений (лифтов, подъемных платформ для инвалидов, пассажирских конвейеров, эскалаторов), эксплуатируемых на территории подконтрольной </w:t>
      </w:r>
      <w:proofErr w:type="gramStart"/>
      <w:r w:rsidRPr="00FB2F9A">
        <w:rPr>
          <w:rFonts w:ascii="Times New Roman" w:hAnsi="Times New Roman"/>
          <w:sz w:val="28"/>
          <w:szCs w:val="28"/>
        </w:rPr>
        <w:t>Управлению,  составляет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25180 единиц (Белгородская область - 5715; Воронежская область - 11266; Курская область - 4686; Липецкая область – 4029; Тамбовская область - 2484).</w:t>
      </w:r>
    </w:p>
    <w:p w14:paraId="21707DCF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первом полугодии 2023 года в  федерального   государственного  контроля   (надзора) в области безопасного использования и содержания  опасных   технических   устройств   зданий и сооружений, в целом по Управлению проведены  5 проверок (Белгородская область – 0, Воронежская область - 2; Курская область - 3; Липецкая область – 0; Тамбовская область - 0), из них плановых – 0 (Белгородская область – 0, Воронежская область - 0; Курская область - 0; Липецкая область – 0; Тамбовская область - 0),  внеплановых – 5 (Белгородская область – 0, Воронежская область - 2; Курская область - 3; Липецкая область – 0; Тамбовская область - 0). </w:t>
      </w:r>
    </w:p>
    <w:p w14:paraId="739727D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ходе проверок в целом по Управлению при проверках, проведенных </w:t>
      </w:r>
      <w:proofErr w:type="gramStart"/>
      <w:r w:rsidRPr="00FB2F9A">
        <w:rPr>
          <w:rFonts w:ascii="Times New Roman" w:hAnsi="Times New Roman"/>
          <w:sz w:val="28"/>
          <w:szCs w:val="28"/>
        </w:rPr>
        <w:t>в  рамках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федерального   государственного  контроля   (надзора) в области безопасного использования и содержания  опасных   технических   устройств   зданий и сооружений выявлено 42 нарушения обязательных требований, установленных действующим законодательством (Белгородская область – 0, Воронежская область - 16; Курская область - 26; Липецкая область – 0; Тамбовская область - 0). </w:t>
      </w:r>
    </w:p>
    <w:p w14:paraId="08DF70E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территории Воронежской области в отчетном периоде за нарушения требований безопасности при эксплуатации лифтов возбуждено и рассмотрено 2 административных дела по части 1 статьи 9.1.1 КоАП РФ. По итогам рассмотрения двум юридическим лицам назначено наказание в виде административного предупреждения.</w:t>
      </w:r>
    </w:p>
    <w:p w14:paraId="7EFBA1B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рамках реализации полномочий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>, связанных с Правилами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и эскалаторов инспекторами надзор за ПС в отчетном периоде проведено 86 контрольных осмотров лифтов после монтажа, связанного с заменой или модернизацией (Белгородская область – 39, Воронежская область – 39; Курская область - 5 Липецкая область – 3; Тамбовская область - 0).</w:t>
      </w:r>
    </w:p>
    <w:p w14:paraId="1678BC9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 xml:space="preserve">К типовым нарушениям, выявляемым в рамках федерального   </w:t>
      </w:r>
      <w:proofErr w:type="gramStart"/>
      <w:r w:rsidRPr="00FB2F9A">
        <w:rPr>
          <w:rFonts w:ascii="Times New Roman" w:hAnsi="Times New Roman"/>
          <w:sz w:val="28"/>
          <w:szCs w:val="28"/>
        </w:rPr>
        <w:t>государственного  контроля</w:t>
      </w:r>
      <w:proofErr w:type="gramEnd"/>
      <w:r w:rsidRPr="00FB2F9A">
        <w:rPr>
          <w:rFonts w:ascii="Times New Roman" w:hAnsi="Times New Roman"/>
          <w:sz w:val="28"/>
          <w:szCs w:val="28"/>
        </w:rPr>
        <w:t xml:space="preserve">   (надзора) в области безопасного использования и содержания  опасных   технических   устройств   зданий и сооружений, относятся:</w:t>
      </w:r>
    </w:p>
    <w:p w14:paraId="30E8645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-  несоблюдение обязательных требований безопасности, установленных техническим регламентом, руководством по эксплуатации изготовителя при эксплуатации лифтов, в том числе отсутствие подтверждения проведения оценки соответствия (периодического технического освидетельствования); </w:t>
      </w:r>
    </w:p>
    <w:p w14:paraId="5E5E5C3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несоблюдение требований к квалификации персонала, осуществляющего работы по использованию и содержанию лифтов;</w:t>
      </w:r>
    </w:p>
    <w:p w14:paraId="6505429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- эксплуатация лифтов, отработавших назначенный срок службы, без проведения обследования с целью определения условий возможного продления использования лифта; </w:t>
      </w:r>
    </w:p>
    <w:p w14:paraId="15D857B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- эксплуатация лифтов при отсутствии паспорта опасного объекта и руководства по эксплуатации изготовителя; </w:t>
      </w:r>
    </w:p>
    <w:p w14:paraId="27A93463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- отсутствие связи, при помощи которой пассажир может вызвать помощь извне; </w:t>
      </w:r>
    </w:p>
    <w:p w14:paraId="214B82F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отсутствие средств по обеспечению электробезопасности пользователей, персонала.</w:t>
      </w:r>
    </w:p>
    <w:p w14:paraId="68EB549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Toc480912874"/>
      <w:bookmarkStart w:id="6" w:name="_Toc480912875"/>
      <w:bookmarkStart w:id="7" w:name="_Toc480912873"/>
      <w:bookmarkEnd w:id="5"/>
      <w:bookmarkEnd w:id="6"/>
      <w:bookmarkEnd w:id="7"/>
      <w:r w:rsidRPr="00FB2F9A">
        <w:rPr>
          <w:rFonts w:ascii="Times New Roman" w:hAnsi="Times New Roman"/>
          <w:sz w:val="28"/>
          <w:szCs w:val="28"/>
        </w:rPr>
        <w:t>По состоянию на 30.06.2023 общее количество технических устройств, работающих под давлением, эксплуатируемых на опасных производственных объектах (далее – ОПО), находящихся на территории подконтрольной Управлению, составляет 17356 единицы (Белгородская область - 2208; Воронежская область - 7394; Курская область - 2144; Липецкая область – 3568; Тамбовская область - 2042), из них:</w:t>
      </w:r>
    </w:p>
    <w:p w14:paraId="27199E3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- 2898 котлов (Белгородская область - 642; Воронежская область - 1042; Курская область - 407; Липецкая область – 409; Тамбовская область - 398);</w:t>
      </w:r>
    </w:p>
    <w:p w14:paraId="1CD7910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- 12469 сосудов, работающих под давлением (Белгородская область – 1280; Воронежская область - 5886; Курская область - 1364; Липецкая область – 2442; Тамбовская область - 1497);</w:t>
      </w:r>
    </w:p>
    <w:p w14:paraId="14E291D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- 1989 трубопроводов пара и горячей воды (Белгородская область – 286; Воронежская область - 466; Курская область - 373; Липецкая область – 717; Тамбовская область - 147);</w:t>
      </w:r>
    </w:p>
    <w:p w14:paraId="530244C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6 месяцев 2023 года в  рамках надзора за соблюдением требований промышленной безопасности на ОПО, в составе  которых используется оборудование, работающее под давлением (далее – ОПО с ОРПД), в целом по Управлению проведены  59 проверок и мероприятий по контролю (Белгородская область – 12, Воронежская область - 17; Курская область - 2; Липецкая область – 18; Тамбовская область - 10), из них плановых – 13 (Белгородская область – 3, Воронежская область - 0; Курская область - 2; Липецкая область – 5; Тамбовская </w:t>
      </w:r>
      <w:r w:rsidRPr="00FB2F9A">
        <w:rPr>
          <w:rFonts w:ascii="Times New Roman" w:hAnsi="Times New Roman"/>
          <w:sz w:val="28"/>
          <w:szCs w:val="28"/>
        </w:rPr>
        <w:lastRenderedPageBreak/>
        <w:t xml:space="preserve">область - 3),  внеплановых – 16 (Белгородская область – 9, Воронежская область - 2; Курская область - 0; Липецкая область – 4; Тамбовская область - 1),  проведенных в режиме постоянного государственного надзора – 30 (Белгородская область – 0, Воронежская область - 15; Курская область - 0; Липецкая область – 9; Тамбовская область - 6). </w:t>
      </w:r>
    </w:p>
    <w:p w14:paraId="1914F49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ходе проверок в целом по Управлению выявлено 252 нарушения обязательных требований, установленных действующим законодательством (Белгородская область – 112, Воронежская область - 60; Курская область - 14; Липецкая область – 54; Тамбовская область - 12). </w:t>
      </w:r>
    </w:p>
    <w:p w14:paraId="53F8E39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На территории Белгородской области к административной ответственности за правонарушения, предусмотренные ст. 9.1 КоАП РФ по делам, возбужденным сотрудниками, осуществляющими надзор за оборудованием, работающем под давлением, привлечено 5 должностных лиц, из них 5 вынесено предупреждения. </w:t>
      </w:r>
    </w:p>
    <w:p w14:paraId="0E40907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территории Воронежской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1 должностное лиц и 2 юридических лица. При этом 1 юридическому лицу назначено наказание в виде административного штрафа. 1 должностному лицу и 1 юридическому лицу с учетом требований ст. 4.1_1 КоАП РФ назначено наказание в виде предупреждения.</w:t>
      </w:r>
    </w:p>
    <w:p w14:paraId="5DF3194B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территории Курской области к административной ответственности за правонарушения, предусмотренные ст. 9.1 по делам, возбужденным сотрудниками, осуществляющими надзор за оборудованием, работающем под избыточным давлением, привлечено 2 должностных лиц и 0 юридическое лицо. При этом 0 должностным лицам назначено наказание в виде административного штрафа. Двум должностным лицам, с учетом требований ст. 4.1.1 КоАП РФ назначено наказание в виде предупреждения.</w:t>
      </w:r>
    </w:p>
    <w:p w14:paraId="521E39F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На территории Липецкой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9 должностных лиц. При этом 1 должностному лицу назначено наказание в виде административного штрафа, 8 должностным лицам с учетом требований ст. 4.1_1 КоАП РФ назначено наказание в виде предупреждения.</w:t>
      </w:r>
    </w:p>
    <w:p w14:paraId="6CA1E1B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В одном случае за допущенные нарушения, создающие угрозу причинения вреда жизни, здоровью людей, юридическое лицо привлечено к административной ответственности по ч. 3 ст. 9.1 КоАП РФ. Ему назначено наказания в виде административного приостановления деятельности на срок 90 суток.</w:t>
      </w:r>
    </w:p>
    <w:p w14:paraId="195DEDE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lastRenderedPageBreak/>
        <w:t xml:space="preserve">На территории Тамбовской области к административной ответственности за правонарушения, предусмотренные ст. 9.1 ч. 1 и 19.5 ч. 11 КоАП РФ по делам, возбужденным сотрудниками, осуществляющими надзор за оборудованием, работающем под давлением, привлечено 2 должностных лица (1 штраф и 1 предупреждение) и 4 юридических лица (3 штрафа и 1 предупреждение) и 1 индивидуальный предприниматель (1 предупреждение). </w:t>
      </w:r>
    </w:p>
    <w:p w14:paraId="437D3DB1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Количество мероприятий по контролю в рамках пуска в работу ОРПД в случаях, установленных ФНПОРПД на ОПО с ОРПД, инициированных обращением поднадзорных организаций за 6 месяцев 2023 года составило 35 (Белгородская область – 1, Воронежская область - 12; Курская область - 16; Липецкая область – 6; Тамбовская область - 0).</w:t>
      </w:r>
    </w:p>
    <w:p w14:paraId="36B489A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используется оборудование, работающее под давлением, относятся:</w:t>
      </w:r>
    </w:p>
    <w:p w14:paraId="47121AD8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эксплуатация паровых и водогрейных котлов с нарушениями водно-химического режима;</w:t>
      </w:r>
    </w:p>
    <w:p w14:paraId="1C9CB360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эксплуатация оборудования, работающего под давлением с неисправными предохранительными клапанами;</w:t>
      </w:r>
    </w:p>
    <w:p w14:paraId="429A3AB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эксплуатация оборудования, работающего под давлением оснащенного контрольно-измерительными приборами с истекшим сроком поверки;</w:t>
      </w:r>
    </w:p>
    <w:p w14:paraId="31CBA4A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нерегулярное и не в полном объеме ведение технической документации необходимой при эксплуатации оборудования, работающего под избыточным давлением (ремонтные журналы и сменные журналы);</w:t>
      </w:r>
    </w:p>
    <w:p w14:paraId="6C792FA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несоответствие содержания производственных инструкций требованиям инструкций завода изготовителя оборудования, работающего под избыточным давлением.</w:t>
      </w:r>
    </w:p>
    <w:p w14:paraId="0026EDD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- неисправность запорной и регулирующей арматуры, отсутствие на ней необходимой маркировки.</w:t>
      </w:r>
    </w:p>
    <w:p w14:paraId="707F43D1" w14:textId="48B50D71" w:rsid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целях недопущения и профилактики нарушений обязательных требований Управлением на постоянной основе ведется разъяснительная работа и оказывается методологическая помощь поднадзорным организациям при осуществлении контрольно-надзорной деятельности. </w:t>
      </w:r>
    </w:p>
    <w:p w14:paraId="64D180FE" w14:textId="68367C5E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7CFE29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>Федеральный государственный надзор на объектах</w:t>
      </w:r>
    </w:p>
    <w:p w14:paraId="3C2F2E68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F9A">
        <w:rPr>
          <w:rFonts w:ascii="Times New Roman" w:hAnsi="Times New Roman"/>
          <w:b/>
          <w:sz w:val="28"/>
          <w:szCs w:val="28"/>
        </w:rPr>
        <w:t xml:space="preserve">газораспределения и </w:t>
      </w:r>
      <w:proofErr w:type="spellStart"/>
      <w:r w:rsidRPr="00FB2F9A">
        <w:rPr>
          <w:rFonts w:ascii="Times New Roman" w:hAnsi="Times New Roman"/>
          <w:b/>
          <w:sz w:val="28"/>
          <w:szCs w:val="28"/>
        </w:rPr>
        <w:t>газопотребления</w:t>
      </w:r>
      <w:proofErr w:type="spellEnd"/>
    </w:p>
    <w:p w14:paraId="79141881" w14:textId="77777777" w:rsidR="00FB2F9A" w:rsidRPr="00FB2F9A" w:rsidRDefault="00FB2F9A" w:rsidP="00FB2F9A">
      <w:pPr>
        <w:spacing w:after="0"/>
        <w:ind w:right="-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2FD0D12" w14:textId="77777777" w:rsidR="00FB2F9A" w:rsidRPr="00350E2E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Федеральный государственный надзор в области промышленной безопасности осуществляется в отношении</w:t>
      </w:r>
      <w:r w:rsidRPr="00350E2E">
        <w:rPr>
          <w:rFonts w:ascii="Times New Roman" w:hAnsi="Times New Roman"/>
          <w:sz w:val="28"/>
          <w:szCs w:val="28"/>
        </w:rPr>
        <w:t xml:space="preserve"> 5646 опасных производственных </w:t>
      </w:r>
      <w:r w:rsidRPr="00350E2E">
        <w:rPr>
          <w:rFonts w:ascii="Times New Roman" w:hAnsi="Times New Roman"/>
          <w:sz w:val="28"/>
          <w:szCs w:val="28"/>
        </w:rPr>
        <w:lastRenderedPageBreak/>
        <w:t xml:space="preserve">объектов газораспределения и </w:t>
      </w:r>
      <w:proofErr w:type="spellStart"/>
      <w:r w:rsidRPr="00350E2E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350E2E">
        <w:rPr>
          <w:rFonts w:ascii="Times New Roman" w:hAnsi="Times New Roman"/>
          <w:sz w:val="28"/>
          <w:szCs w:val="28"/>
        </w:rPr>
        <w:t>, в том числе: 7 ОПО - 2 класса опасности, 5609 ОПО - 3 класса опасности, ОПО - 4 класса опасности - 30.</w:t>
      </w:r>
    </w:p>
    <w:p w14:paraId="10EB16ED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5"/>
        <w:gridCol w:w="1484"/>
      </w:tblGrid>
      <w:tr w:rsidR="00FB2F9A" w:rsidRPr="00FB2F9A" w14:paraId="371A20C8" w14:textId="77777777" w:rsidTr="00181196">
        <w:tc>
          <w:tcPr>
            <w:tcW w:w="8222" w:type="dxa"/>
          </w:tcPr>
          <w:p w14:paraId="25DB3C18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 xml:space="preserve">Число поднадзорных ОПО </w:t>
            </w:r>
            <w:proofErr w:type="spellStart"/>
            <w:r w:rsidRPr="00FB2F9A">
              <w:rPr>
                <w:rFonts w:ascii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FB2F9A">
              <w:rPr>
                <w:rFonts w:ascii="Times New Roman" w:hAnsi="Times New Roman"/>
                <w:sz w:val="28"/>
                <w:szCs w:val="28"/>
              </w:rPr>
              <w:t xml:space="preserve"> и газораспределения, всего, в том числе</w:t>
            </w:r>
          </w:p>
        </w:tc>
        <w:tc>
          <w:tcPr>
            <w:tcW w:w="1417" w:type="dxa"/>
          </w:tcPr>
          <w:p w14:paraId="669D2ED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5646</w:t>
            </w:r>
          </w:p>
        </w:tc>
      </w:tr>
      <w:tr w:rsidR="00FB2F9A" w:rsidRPr="00FB2F9A" w14:paraId="3C4F3EF5" w14:textId="77777777" w:rsidTr="00181196">
        <w:tc>
          <w:tcPr>
            <w:tcW w:w="8222" w:type="dxa"/>
          </w:tcPr>
          <w:p w14:paraId="0068611E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 xml:space="preserve">II класса опасности </w:t>
            </w:r>
          </w:p>
        </w:tc>
        <w:tc>
          <w:tcPr>
            <w:tcW w:w="1417" w:type="dxa"/>
          </w:tcPr>
          <w:p w14:paraId="3F6261D0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B2F9A" w:rsidRPr="00FB2F9A" w14:paraId="1B98014B" w14:textId="77777777" w:rsidTr="00181196">
        <w:tc>
          <w:tcPr>
            <w:tcW w:w="8222" w:type="dxa"/>
          </w:tcPr>
          <w:p w14:paraId="472F0F6D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III класса опасности</w:t>
            </w:r>
          </w:p>
        </w:tc>
        <w:tc>
          <w:tcPr>
            <w:tcW w:w="1417" w:type="dxa"/>
          </w:tcPr>
          <w:p w14:paraId="736F9AF1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5609</w:t>
            </w:r>
          </w:p>
        </w:tc>
      </w:tr>
      <w:tr w:rsidR="00FB2F9A" w:rsidRPr="00FB2F9A" w14:paraId="148BAF05" w14:textId="77777777" w:rsidTr="00181196">
        <w:tc>
          <w:tcPr>
            <w:tcW w:w="8222" w:type="dxa"/>
          </w:tcPr>
          <w:p w14:paraId="317669E5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IV класса опасности</w:t>
            </w:r>
          </w:p>
        </w:tc>
        <w:tc>
          <w:tcPr>
            <w:tcW w:w="1417" w:type="dxa"/>
          </w:tcPr>
          <w:p w14:paraId="26C95341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4DC6147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0B847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2021, 2022 и прошедшем периоде 2023 года информация об авариях и несчастных случаях на опасных производственных объектах газораспределения и </w:t>
      </w:r>
      <w:proofErr w:type="spellStart"/>
      <w:r w:rsidRPr="00FB2F9A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в Управление не поступала.</w:t>
      </w:r>
    </w:p>
    <w:p w14:paraId="2BE60A19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2023 году работа инспекторского состава Управления по надзору за объектами газораспределения и </w:t>
      </w:r>
      <w:proofErr w:type="spellStart"/>
      <w:r w:rsidRPr="00FB2F9A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велась в соответствии с планом проведения плановых проверок юридических лиц и индивидуальных предпринимателей Верхне-Донского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на 2023 год, утвержденный приказом Верхне-Донского управления </w:t>
      </w:r>
      <w:proofErr w:type="spellStart"/>
      <w:r w:rsidRPr="00FB2F9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«Об утверждении Плана проведения плановых проверок юридических лиц и индивидуальных предпринимателей и Плана проведения плановых проверок деятельности органов местного самоуправления и должностных лиц местного самоуправления Верхне-Донского управления Федеральной службы по экологическому, технологическому и атомному надзору на 2023 год».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2835"/>
        <w:gridCol w:w="2866"/>
        <w:gridCol w:w="2515"/>
      </w:tblGrid>
      <w:tr w:rsidR="00FB2F9A" w:rsidRPr="00FB2F9A" w14:paraId="6A328106" w14:textId="77777777" w:rsidTr="001811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964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9FAC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 запланированных проверок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41C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72C4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 исключенных проверок</w:t>
            </w:r>
          </w:p>
        </w:tc>
      </w:tr>
      <w:tr w:rsidR="00FB2F9A" w:rsidRPr="00FB2F9A" w14:paraId="151852AB" w14:textId="77777777" w:rsidTr="001811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96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526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6C3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627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B2F9A" w:rsidRPr="00FB2F9A" w14:paraId="22A3C290" w14:textId="77777777" w:rsidTr="001811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E3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738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0E21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936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F6BCEE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ED3D6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Работники надзора принимают участие в процедуре приемки в эксплуатацию построенного, реконструированного или модернизированного газоиспользующего оборудования и оборудования, переводимого на газ с других видов топлива.</w:t>
      </w:r>
    </w:p>
    <w:p w14:paraId="595A396A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За отчетный период государственные инспектора в Белгородской, Воронежской, Тамбовской, Липецкой и Курской областях участвовали в 1438 комиссиях по приемке сетей газораспределения и </w:t>
      </w:r>
      <w:proofErr w:type="spellStart"/>
      <w:r w:rsidRPr="00FB2F9A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FB2F9A">
        <w:rPr>
          <w:rFonts w:ascii="Times New Roman" w:hAnsi="Times New Roman"/>
          <w:sz w:val="28"/>
          <w:szCs w:val="28"/>
        </w:rPr>
        <w:t>, в 2022 году 2252 комиссиях.</w:t>
      </w:r>
    </w:p>
    <w:p w14:paraId="755987E6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>За 2022 и 2023 годы приняты следующие меры по выявлению, предупреждению и пресечению нарушений законодательства, в том числе по контролю за исполнением выданных предписаний и привлечению должностных и юридических лиц к административной ответственности:</w:t>
      </w:r>
    </w:p>
    <w:p w14:paraId="06BF6E15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4"/>
        <w:gridCol w:w="1582"/>
        <w:gridCol w:w="1424"/>
      </w:tblGrid>
      <w:tr w:rsidR="00FB2F9A" w:rsidRPr="00FB2F9A" w14:paraId="7773FB41" w14:textId="77777777" w:rsidTr="00181196">
        <w:trPr>
          <w:trHeight w:val="375"/>
          <w:jc w:val="center"/>
        </w:trPr>
        <w:tc>
          <w:tcPr>
            <w:tcW w:w="7024" w:type="dxa"/>
          </w:tcPr>
          <w:p w14:paraId="78EEC1EA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82" w:type="dxa"/>
          </w:tcPr>
          <w:p w14:paraId="7A92273D" w14:textId="77777777" w:rsidR="00FB2F9A" w:rsidRPr="00FB2F9A" w:rsidRDefault="00FB2F9A" w:rsidP="00FB2F9A">
            <w:pPr>
              <w:spacing w:after="0"/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24" w:type="dxa"/>
          </w:tcPr>
          <w:p w14:paraId="53F84B77" w14:textId="77777777" w:rsidR="00FB2F9A" w:rsidRPr="00FB2F9A" w:rsidRDefault="00FB2F9A" w:rsidP="00FB2F9A">
            <w:pPr>
              <w:spacing w:after="0"/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FB2F9A" w:rsidRPr="00FB2F9A" w14:paraId="3123CE1F" w14:textId="77777777" w:rsidTr="00181196">
        <w:trPr>
          <w:jc w:val="center"/>
        </w:trPr>
        <w:tc>
          <w:tcPr>
            <w:tcW w:w="7024" w:type="dxa"/>
            <w:vAlign w:val="center"/>
          </w:tcPr>
          <w:p w14:paraId="377AE373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1582" w:type="dxa"/>
          </w:tcPr>
          <w:p w14:paraId="00748FEB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24" w:type="dxa"/>
            <w:vAlign w:val="center"/>
          </w:tcPr>
          <w:p w14:paraId="12C1D56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B2F9A" w:rsidRPr="00FB2F9A" w14:paraId="415FB188" w14:textId="77777777" w:rsidTr="00181196">
        <w:trPr>
          <w:jc w:val="center"/>
        </w:trPr>
        <w:tc>
          <w:tcPr>
            <w:tcW w:w="7024" w:type="dxa"/>
            <w:vAlign w:val="center"/>
          </w:tcPr>
          <w:p w14:paraId="45A73F1C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Привлечено должностных лиц к административной ответственности в виде штрафа:</w:t>
            </w:r>
          </w:p>
        </w:tc>
        <w:tc>
          <w:tcPr>
            <w:tcW w:w="1582" w:type="dxa"/>
          </w:tcPr>
          <w:p w14:paraId="3C2CEE13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22B6296B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F9A" w:rsidRPr="00FB2F9A" w14:paraId="40A78F10" w14:textId="77777777" w:rsidTr="00181196">
        <w:trPr>
          <w:jc w:val="center"/>
        </w:trPr>
        <w:tc>
          <w:tcPr>
            <w:tcW w:w="7024" w:type="dxa"/>
            <w:vAlign w:val="center"/>
          </w:tcPr>
          <w:p w14:paraId="0F2A8913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82" w:type="dxa"/>
          </w:tcPr>
          <w:p w14:paraId="6DD9492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24" w:type="dxa"/>
            <w:vAlign w:val="center"/>
          </w:tcPr>
          <w:p w14:paraId="43D79623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2F9A" w:rsidRPr="00FB2F9A" w14:paraId="28A8199A" w14:textId="77777777" w:rsidTr="00181196">
        <w:trPr>
          <w:jc w:val="center"/>
        </w:trPr>
        <w:tc>
          <w:tcPr>
            <w:tcW w:w="7024" w:type="dxa"/>
            <w:vAlign w:val="center"/>
          </w:tcPr>
          <w:p w14:paraId="77282430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1582" w:type="dxa"/>
          </w:tcPr>
          <w:p w14:paraId="5A013B4C" w14:textId="77777777" w:rsidR="00FB2F9A" w:rsidRPr="00FB2F9A" w:rsidRDefault="00FB2F9A" w:rsidP="00FB2F9A">
            <w:pPr>
              <w:spacing w:after="0"/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1211000</w:t>
            </w:r>
          </w:p>
        </w:tc>
        <w:tc>
          <w:tcPr>
            <w:tcW w:w="1424" w:type="dxa"/>
            <w:vAlign w:val="center"/>
          </w:tcPr>
          <w:p w14:paraId="7C4CC82B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FB2F9A" w:rsidRPr="00FB2F9A" w14:paraId="4BF2C2ED" w14:textId="77777777" w:rsidTr="00181196">
        <w:trPr>
          <w:jc w:val="center"/>
        </w:trPr>
        <w:tc>
          <w:tcPr>
            <w:tcW w:w="7024" w:type="dxa"/>
            <w:vAlign w:val="center"/>
          </w:tcPr>
          <w:p w14:paraId="53EAE5B6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Привлечено юридических лиц и индивидуальных предпринимателей к административной ответственности в виде штрафа:</w:t>
            </w:r>
          </w:p>
        </w:tc>
        <w:tc>
          <w:tcPr>
            <w:tcW w:w="1582" w:type="dxa"/>
          </w:tcPr>
          <w:p w14:paraId="757B5CDE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18A6A41E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F9A" w:rsidRPr="00FB2F9A" w14:paraId="1A72301A" w14:textId="77777777" w:rsidTr="00181196">
        <w:trPr>
          <w:jc w:val="center"/>
        </w:trPr>
        <w:tc>
          <w:tcPr>
            <w:tcW w:w="7024" w:type="dxa"/>
            <w:vAlign w:val="center"/>
          </w:tcPr>
          <w:p w14:paraId="3B2CE87F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82" w:type="dxa"/>
          </w:tcPr>
          <w:p w14:paraId="44E02747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4" w:type="dxa"/>
            <w:vAlign w:val="center"/>
          </w:tcPr>
          <w:p w14:paraId="664FB225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B2F9A" w:rsidRPr="00FB2F9A" w14:paraId="3FC93C19" w14:textId="77777777" w:rsidTr="00181196">
        <w:trPr>
          <w:jc w:val="center"/>
        </w:trPr>
        <w:tc>
          <w:tcPr>
            <w:tcW w:w="7024" w:type="dxa"/>
            <w:vAlign w:val="center"/>
          </w:tcPr>
          <w:p w14:paraId="29AC162F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1582" w:type="dxa"/>
          </w:tcPr>
          <w:p w14:paraId="49DBE084" w14:textId="77777777" w:rsidR="00FB2F9A" w:rsidRPr="00FB2F9A" w:rsidRDefault="00FB2F9A" w:rsidP="00FB2F9A">
            <w:pPr>
              <w:spacing w:after="0"/>
              <w:ind w:right="-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2680000</w:t>
            </w:r>
          </w:p>
        </w:tc>
        <w:tc>
          <w:tcPr>
            <w:tcW w:w="1424" w:type="dxa"/>
            <w:vAlign w:val="center"/>
          </w:tcPr>
          <w:p w14:paraId="134100D2" w14:textId="77777777" w:rsidR="00FB2F9A" w:rsidRPr="00FB2F9A" w:rsidRDefault="00FB2F9A" w:rsidP="00FB2F9A">
            <w:pPr>
              <w:spacing w:after="0"/>
              <w:ind w:right="-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FB2F9A" w:rsidRPr="00FB2F9A" w14:paraId="03A44C29" w14:textId="77777777" w:rsidTr="00181196">
        <w:trPr>
          <w:jc w:val="center"/>
        </w:trPr>
        <w:tc>
          <w:tcPr>
            <w:tcW w:w="7024" w:type="dxa"/>
          </w:tcPr>
          <w:p w14:paraId="261373AF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Привлечено граждан к административной ответственности в виде штрафа:</w:t>
            </w:r>
          </w:p>
        </w:tc>
        <w:tc>
          <w:tcPr>
            <w:tcW w:w="1582" w:type="dxa"/>
          </w:tcPr>
          <w:p w14:paraId="5349C9EE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50D482A1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F9A" w:rsidRPr="00FB2F9A" w14:paraId="7ABC5A9D" w14:textId="77777777" w:rsidTr="00181196">
        <w:trPr>
          <w:jc w:val="center"/>
        </w:trPr>
        <w:tc>
          <w:tcPr>
            <w:tcW w:w="7024" w:type="dxa"/>
          </w:tcPr>
          <w:p w14:paraId="510A6310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82" w:type="dxa"/>
          </w:tcPr>
          <w:p w14:paraId="16873010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14:paraId="5B4B81B8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B2F9A" w:rsidRPr="00FB2F9A" w14:paraId="6510011C" w14:textId="77777777" w:rsidTr="00181196">
        <w:trPr>
          <w:jc w:val="center"/>
        </w:trPr>
        <w:tc>
          <w:tcPr>
            <w:tcW w:w="7024" w:type="dxa"/>
          </w:tcPr>
          <w:p w14:paraId="26ED3305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1582" w:type="dxa"/>
          </w:tcPr>
          <w:p w14:paraId="74CB1590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14:paraId="2E0731D8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B2F9A" w:rsidRPr="00FB2F9A" w14:paraId="5ABC5087" w14:textId="77777777" w:rsidTr="00181196">
        <w:trPr>
          <w:jc w:val="center"/>
        </w:trPr>
        <w:tc>
          <w:tcPr>
            <w:tcW w:w="7024" w:type="dxa"/>
            <w:vAlign w:val="center"/>
          </w:tcPr>
          <w:p w14:paraId="3207809D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Привлечено должностных и юридических лиц по результатам проверок к административной ответственности в виде предупреждения</w:t>
            </w:r>
          </w:p>
        </w:tc>
        <w:tc>
          <w:tcPr>
            <w:tcW w:w="1582" w:type="dxa"/>
            <w:vAlign w:val="center"/>
          </w:tcPr>
          <w:p w14:paraId="64DDE106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24" w:type="dxa"/>
            <w:vAlign w:val="center"/>
          </w:tcPr>
          <w:p w14:paraId="2F0E82CA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B2F9A" w:rsidRPr="00FB2F9A" w14:paraId="16BD7E6F" w14:textId="77777777" w:rsidTr="00181196">
        <w:trPr>
          <w:jc w:val="center"/>
        </w:trPr>
        <w:tc>
          <w:tcPr>
            <w:tcW w:w="7024" w:type="dxa"/>
            <w:vAlign w:val="center"/>
          </w:tcPr>
          <w:p w14:paraId="056A406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 приостановок</w:t>
            </w:r>
          </w:p>
        </w:tc>
        <w:tc>
          <w:tcPr>
            <w:tcW w:w="1582" w:type="dxa"/>
            <w:vAlign w:val="center"/>
          </w:tcPr>
          <w:p w14:paraId="5834B44F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  <w:vAlign w:val="center"/>
          </w:tcPr>
          <w:p w14:paraId="78F62A30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F9A" w:rsidRPr="00FB2F9A" w14:paraId="4ED1E8AB" w14:textId="77777777" w:rsidTr="00181196">
        <w:trPr>
          <w:jc w:val="center"/>
        </w:trPr>
        <w:tc>
          <w:tcPr>
            <w:tcW w:w="7024" w:type="dxa"/>
            <w:vAlign w:val="center"/>
          </w:tcPr>
          <w:p w14:paraId="7EA819B3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Количество проведенных проверок по контролю за исполнением предписаний</w:t>
            </w:r>
          </w:p>
        </w:tc>
        <w:tc>
          <w:tcPr>
            <w:tcW w:w="1582" w:type="dxa"/>
            <w:vAlign w:val="center"/>
          </w:tcPr>
          <w:p w14:paraId="11EEDCC5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24" w:type="dxa"/>
            <w:vAlign w:val="center"/>
          </w:tcPr>
          <w:p w14:paraId="1398250C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F9A" w:rsidRPr="00FB2F9A" w14:paraId="34E45430" w14:textId="77777777" w:rsidTr="00181196">
        <w:trPr>
          <w:jc w:val="center"/>
        </w:trPr>
        <w:tc>
          <w:tcPr>
            <w:tcW w:w="7024" w:type="dxa"/>
            <w:vAlign w:val="center"/>
          </w:tcPr>
          <w:p w14:paraId="65D7C18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невыполнение предписаний органов государственного контроля (надзора)</w:t>
            </w:r>
          </w:p>
        </w:tc>
        <w:tc>
          <w:tcPr>
            <w:tcW w:w="1582" w:type="dxa"/>
            <w:vAlign w:val="center"/>
          </w:tcPr>
          <w:p w14:paraId="21278CD1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24" w:type="dxa"/>
            <w:vAlign w:val="center"/>
          </w:tcPr>
          <w:p w14:paraId="0551F9AF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F9A" w:rsidRPr="00FB2F9A" w14:paraId="681FF30B" w14:textId="77777777" w:rsidTr="00181196">
        <w:trPr>
          <w:jc w:val="center"/>
        </w:trPr>
        <w:tc>
          <w:tcPr>
            <w:tcW w:w="7024" w:type="dxa"/>
            <w:vAlign w:val="center"/>
          </w:tcPr>
          <w:p w14:paraId="367E9652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Сумма наложенных штрафов, руб.</w:t>
            </w:r>
          </w:p>
        </w:tc>
        <w:tc>
          <w:tcPr>
            <w:tcW w:w="1582" w:type="dxa"/>
            <w:vAlign w:val="center"/>
          </w:tcPr>
          <w:p w14:paraId="31599C4F" w14:textId="77777777" w:rsidR="00FB2F9A" w:rsidRPr="00FB2F9A" w:rsidRDefault="00FB2F9A" w:rsidP="00FB2F9A">
            <w:pPr>
              <w:spacing w:after="0"/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4054100</w:t>
            </w:r>
          </w:p>
        </w:tc>
        <w:tc>
          <w:tcPr>
            <w:tcW w:w="1424" w:type="dxa"/>
            <w:vAlign w:val="center"/>
          </w:tcPr>
          <w:p w14:paraId="55CE5857" w14:textId="77777777" w:rsidR="00FB2F9A" w:rsidRPr="00FB2F9A" w:rsidRDefault="00FB2F9A" w:rsidP="00FB2F9A">
            <w:pPr>
              <w:spacing w:after="0"/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</w:tr>
      <w:tr w:rsidR="00FB2F9A" w:rsidRPr="00FB2F9A" w14:paraId="72CA5600" w14:textId="77777777" w:rsidTr="00181196">
        <w:trPr>
          <w:jc w:val="center"/>
        </w:trPr>
        <w:tc>
          <w:tcPr>
            <w:tcW w:w="7024" w:type="dxa"/>
            <w:vAlign w:val="center"/>
          </w:tcPr>
          <w:p w14:paraId="2CBBED5A" w14:textId="77777777" w:rsidR="00FB2F9A" w:rsidRPr="00FB2F9A" w:rsidRDefault="00FB2F9A" w:rsidP="00FB2F9A">
            <w:pPr>
              <w:spacing w:after="0"/>
              <w:ind w:right="-2"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Сумма взысканных штрафов, руб.</w:t>
            </w:r>
          </w:p>
        </w:tc>
        <w:tc>
          <w:tcPr>
            <w:tcW w:w="1582" w:type="dxa"/>
            <w:vAlign w:val="center"/>
          </w:tcPr>
          <w:p w14:paraId="408D4EF1" w14:textId="77777777" w:rsidR="00FB2F9A" w:rsidRPr="00FB2F9A" w:rsidRDefault="00FB2F9A" w:rsidP="00FB2F9A">
            <w:pPr>
              <w:spacing w:after="0"/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4595900</w:t>
            </w:r>
          </w:p>
        </w:tc>
        <w:tc>
          <w:tcPr>
            <w:tcW w:w="1424" w:type="dxa"/>
            <w:vAlign w:val="center"/>
          </w:tcPr>
          <w:p w14:paraId="081A44B4" w14:textId="77777777" w:rsidR="00FB2F9A" w:rsidRPr="00FB2F9A" w:rsidRDefault="00FB2F9A" w:rsidP="00FB2F9A">
            <w:pPr>
              <w:spacing w:after="0"/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F9A">
              <w:rPr>
                <w:rFonts w:ascii="Times New Roman" w:hAnsi="Times New Roman"/>
                <w:sz w:val="28"/>
                <w:szCs w:val="28"/>
              </w:rPr>
              <w:t>230,69</w:t>
            </w:r>
          </w:p>
        </w:tc>
      </w:tr>
    </w:tbl>
    <w:p w14:paraId="57522912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FE871C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2F9A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контрольно-надзорной деятельности устаревших, дублирующих и избыточных обязательных требований в сфере надзора за объектами газораспределения и </w:t>
      </w:r>
      <w:proofErr w:type="spellStart"/>
      <w:r w:rsidRPr="00FB2F9A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FB2F9A">
        <w:rPr>
          <w:rFonts w:ascii="Times New Roman" w:hAnsi="Times New Roman"/>
          <w:sz w:val="28"/>
          <w:szCs w:val="28"/>
        </w:rPr>
        <w:t xml:space="preserve"> не выявлено.</w:t>
      </w:r>
    </w:p>
    <w:p w14:paraId="3901D954" w14:textId="77777777" w:rsidR="00FB2F9A" w:rsidRPr="00FB2F9A" w:rsidRDefault="00FB2F9A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BC09BF" w14:textId="77777777" w:rsidR="00175515" w:rsidRPr="00FB2F9A" w:rsidRDefault="00175515" w:rsidP="00FB2F9A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75515" w:rsidRPr="00FB2F9A" w:rsidSect="007403E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53B7" w14:textId="77777777" w:rsidR="00A77019" w:rsidRDefault="00A77019" w:rsidP="00541910">
      <w:pPr>
        <w:spacing w:after="0" w:line="240" w:lineRule="auto"/>
      </w:pPr>
      <w:r>
        <w:separator/>
      </w:r>
    </w:p>
  </w:endnote>
  <w:endnote w:type="continuationSeparator" w:id="0">
    <w:p w14:paraId="4051394E" w14:textId="77777777" w:rsidR="00A77019" w:rsidRDefault="00A77019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E43B" w14:textId="77777777" w:rsidR="00A77019" w:rsidRDefault="00A77019" w:rsidP="00541910">
      <w:pPr>
        <w:spacing w:after="0" w:line="240" w:lineRule="auto"/>
      </w:pPr>
      <w:r>
        <w:separator/>
      </w:r>
    </w:p>
  </w:footnote>
  <w:footnote w:type="continuationSeparator" w:id="0">
    <w:p w14:paraId="0FDCEBBE" w14:textId="77777777" w:rsidR="00A77019" w:rsidRDefault="00A77019" w:rsidP="0054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54F6" w14:textId="7E2983CF" w:rsidR="00262C21" w:rsidRPr="00541910" w:rsidRDefault="00262C21">
    <w:pPr>
      <w:pStyle w:val="ac"/>
      <w:jc w:val="center"/>
      <w:rPr>
        <w:rFonts w:ascii="Times New Roman" w:hAnsi="Times New Roman"/>
      </w:rPr>
    </w:pPr>
    <w:r w:rsidRPr="00541910">
      <w:rPr>
        <w:rFonts w:ascii="Times New Roman" w:hAnsi="Times New Roman"/>
      </w:rPr>
      <w:fldChar w:fldCharType="begin"/>
    </w:r>
    <w:r w:rsidRPr="00541910">
      <w:rPr>
        <w:rFonts w:ascii="Times New Roman" w:hAnsi="Times New Roman"/>
      </w:rPr>
      <w:instrText>PAGE   \* MERGEFORMAT</w:instrText>
    </w:r>
    <w:r w:rsidRPr="00541910">
      <w:rPr>
        <w:rFonts w:ascii="Times New Roman" w:hAnsi="Times New Roman"/>
      </w:rPr>
      <w:fldChar w:fldCharType="separate"/>
    </w:r>
    <w:r w:rsidR="001E499C">
      <w:rPr>
        <w:rFonts w:ascii="Times New Roman" w:hAnsi="Times New Roman"/>
        <w:noProof/>
      </w:rPr>
      <w:t>3</w:t>
    </w:r>
    <w:r w:rsidRPr="0054191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226CE"/>
    <w:multiLevelType w:val="hybridMultilevel"/>
    <w:tmpl w:val="E180AE52"/>
    <w:lvl w:ilvl="0" w:tplc="F40C037A">
      <w:start w:val="1"/>
      <w:numFmt w:val="decimal"/>
      <w:lvlText w:val="%1."/>
      <w:lvlJc w:val="left"/>
    </w:lvl>
    <w:lvl w:ilvl="1" w:tplc="E242988C">
      <w:start w:val="1"/>
      <w:numFmt w:val="lowerLetter"/>
      <w:lvlText w:val="%2."/>
      <w:lvlJc w:val="left"/>
      <w:pPr>
        <w:ind w:left="1440" w:hanging="360"/>
      </w:pPr>
    </w:lvl>
    <w:lvl w:ilvl="2" w:tplc="C428B38E">
      <w:start w:val="1"/>
      <w:numFmt w:val="lowerRoman"/>
      <w:lvlText w:val="%3."/>
      <w:lvlJc w:val="right"/>
      <w:pPr>
        <w:ind w:left="2160" w:hanging="180"/>
      </w:pPr>
    </w:lvl>
    <w:lvl w:ilvl="3" w:tplc="020CD90C">
      <w:start w:val="1"/>
      <w:numFmt w:val="decimal"/>
      <w:lvlText w:val="%4."/>
      <w:lvlJc w:val="left"/>
      <w:pPr>
        <w:ind w:left="2880" w:hanging="360"/>
      </w:pPr>
    </w:lvl>
    <w:lvl w:ilvl="4" w:tplc="55F4F292">
      <w:start w:val="1"/>
      <w:numFmt w:val="lowerLetter"/>
      <w:lvlText w:val="%5."/>
      <w:lvlJc w:val="left"/>
      <w:pPr>
        <w:ind w:left="3600" w:hanging="360"/>
      </w:pPr>
    </w:lvl>
    <w:lvl w:ilvl="5" w:tplc="5830B1BC">
      <w:start w:val="1"/>
      <w:numFmt w:val="lowerRoman"/>
      <w:lvlText w:val="%6."/>
      <w:lvlJc w:val="right"/>
      <w:pPr>
        <w:ind w:left="4320" w:hanging="180"/>
      </w:pPr>
    </w:lvl>
    <w:lvl w:ilvl="6" w:tplc="16EE0B9A">
      <w:start w:val="1"/>
      <w:numFmt w:val="decimal"/>
      <w:lvlText w:val="%7."/>
      <w:lvlJc w:val="left"/>
      <w:pPr>
        <w:ind w:left="5040" w:hanging="360"/>
      </w:pPr>
    </w:lvl>
    <w:lvl w:ilvl="7" w:tplc="89144BA4">
      <w:start w:val="1"/>
      <w:numFmt w:val="lowerLetter"/>
      <w:lvlText w:val="%8."/>
      <w:lvlJc w:val="left"/>
      <w:pPr>
        <w:ind w:left="5760" w:hanging="360"/>
      </w:pPr>
    </w:lvl>
    <w:lvl w:ilvl="8" w:tplc="27844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12"/>
    <w:rsid w:val="00041CCE"/>
    <w:rsid w:val="00051CE3"/>
    <w:rsid w:val="000679F3"/>
    <w:rsid w:val="00070161"/>
    <w:rsid w:val="00077306"/>
    <w:rsid w:val="000A0E0B"/>
    <w:rsid w:val="000B4C45"/>
    <w:rsid w:val="000B4E6C"/>
    <w:rsid w:val="000F401D"/>
    <w:rsid w:val="000F7964"/>
    <w:rsid w:val="001028BF"/>
    <w:rsid w:val="00105BEB"/>
    <w:rsid w:val="00134F8E"/>
    <w:rsid w:val="0015259D"/>
    <w:rsid w:val="00162F6D"/>
    <w:rsid w:val="00175515"/>
    <w:rsid w:val="00175C80"/>
    <w:rsid w:val="00180CCD"/>
    <w:rsid w:val="00181EFC"/>
    <w:rsid w:val="001A36D0"/>
    <w:rsid w:val="001C28F8"/>
    <w:rsid w:val="001E499C"/>
    <w:rsid w:val="001F604C"/>
    <w:rsid w:val="0020225C"/>
    <w:rsid w:val="00202C57"/>
    <w:rsid w:val="002122B4"/>
    <w:rsid w:val="00232D9C"/>
    <w:rsid w:val="00234AC3"/>
    <w:rsid w:val="00236593"/>
    <w:rsid w:val="002434B6"/>
    <w:rsid w:val="002626EC"/>
    <w:rsid w:val="00262C21"/>
    <w:rsid w:val="00274898"/>
    <w:rsid w:val="002779A4"/>
    <w:rsid w:val="00286947"/>
    <w:rsid w:val="00294C49"/>
    <w:rsid w:val="002B2497"/>
    <w:rsid w:val="002C2655"/>
    <w:rsid w:val="002C5BF7"/>
    <w:rsid w:val="002F0C22"/>
    <w:rsid w:val="003100DB"/>
    <w:rsid w:val="00340BC4"/>
    <w:rsid w:val="003A123E"/>
    <w:rsid w:val="003A2F9C"/>
    <w:rsid w:val="003B26B5"/>
    <w:rsid w:val="003B3A0F"/>
    <w:rsid w:val="003D0CE4"/>
    <w:rsid w:val="003D4A88"/>
    <w:rsid w:val="003E6162"/>
    <w:rsid w:val="004036E7"/>
    <w:rsid w:val="004043F8"/>
    <w:rsid w:val="00466F82"/>
    <w:rsid w:val="004851BE"/>
    <w:rsid w:val="00492164"/>
    <w:rsid w:val="00492484"/>
    <w:rsid w:val="004A2B8E"/>
    <w:rsid w:val="004D2816"/>
    <w:rsid w:val="004D2C22"/>
    <w:rsid w:val="004D4D48"/>
    <w:rsid w:val="004D6B3C"/>
    <w:rsid w:val="004F36EB"/>
    <w:rsid w:val="005042CE"/>
    <w:rsid w:val="0053676F"/>
    <w:rsid w:val="00541910"/>
    <w:rsid w:val="0055649A"/>
    <w:rsid w:val="00563794"/>
    <w:rsid w:val="00566EA2"/>
    <w:rsid w:val="005679BA"/>
    <w:rsid w:val="0058402C"/>
    <w:rsid w:val="00635BC5"/>
    <w:rsid w:val="0064379C"/>
    <w:rsid w:val="00643E60"/>
    <w:rsid w:val="00681EA3"/>
    <w:rsid w:val="006A74F7"/>
    <w:rsid w:val="006E27CF"/>
    <w:rsid w:val="006F1B80"/>
    <w:rsid w:val="006F5D3C"/>
    <w:rsid w:val="00706AED"/>
    <w:rsid w:val="00721E30"/>
    <w:rsid w:val="007403EF"/>
    <w:rsid w:val="00744CBB"/>
    <w:rsid w:val="007727DD"/>
    <w:rsid w:val="007A722C"/>
    <w:rsid w:val="007B1AAD"/>
    <w:rsid w:val="007B26D2"/>
    <w:rsid w:val="007D307B"/>
    <w:rsid w:val="007E7770"/>
    <w:rsid w:val="007F3FF2"/>
    <w:rsid w:val="007F670C"/>
    <w:rsid w:val="00813DFF"/>
    <w:rsid w:val="00815A6A"/>
    <w:rsid w:val="00833102"/>
    <w:rsid w:val="008411B9"/>
    <w:rsid w:val="00843A80"/>
    <w:rsid w:val="00864377"/>
    <w:rsid w:val="008756E9"/>
    <w:rsid w:val="00892B15"/>
    <w:rsid w:val="008B3807"/>
    <w:rsid w:val="008C5894"/>
    <w:rsid w:val="008E4E7E"/>
    <w:rsid w:val="0091331A"/>
    <w:rsid w:val="00930483"/>
    <w:rsid w:val="00963316"/>
    <w:rsid w:val="00973BDA"/>
    <w:rsid w:val="00996262"/>
    <w:rsid w:val="009A5253"/>
    <w:rsid w:val="009E2AC3"/>
    <w:rsid w:val="009F1AEC"/>
    <w:rsid w:val="009F5F72"/>
    <w:rsid w:val="00A248CD"/>
    <w:rsid w:val="00A77019"/>
    <w:rsid w:val="00AA70A7"/>
    <w:rsid w:val="00AC1442"/>
    <w:rsid w:val="00B05FDB"/>
    <w:rsid w:val="00B103B1"/>
    <w:rsid w:val="00B32DCE"/>
    <w:rsid w:val="00B37171"/>
    <w:rsid w:val="00B51450"/>
    <w:rsid w:val="00B55E04"/>
    <w:rsid w:val="00B6333D"/>
    <w:rsid w:val="00B64D01"/>
    <w:rsid w:val="00B67233"/>
    <w:rsid w:val="00B72D5A"/>
    <w:rsid w:val="00B77808"/>
    <w:rsid w:val="00B77DEC"/>
    <w:rsid w:val="00B91905"/>
    <w:rsid w:val="00B9444E"/>
    <w:rsid w:val="00BA6FF3"/>
    <w:rsid w:val="00BB291A"/>
    <w:rsid w:val="00C11C74"/>
    <w:rsid w:val="00C34B9E"/>
    <w:rsid w:val="00C62DAE"/>
    <w:rsid w:val="00CB136F"/>
    <w:rsid w:val="00CC7EE7"/>
    <w:rsid w:val="00CE2D1F"/>
    <w:rsid w:val="00D137B6"/>
    <w:rsid w:val="00D14592"/>
    <w:rsid w:val="00D23399"/>
    <w:rsid w:val="00D23AC2"/>
    <w:rsid w:val="00D31DAC"/>
    <w:rsid w:val="00D34907"/>
    <w:rsid w:val="00D36B51"/>
    <w:rsid w:val="00DB39AE"/>
    <w:rsid w:val="00DC2BA3"/>
    <w:rsid w:val="00DC4ED2"/>
    <w:rsid w:val="00DE1EBC"/>
    <w:rsid w:val="00DE48B1"/>
    <w:rsid w:val="00E44FAD"/>
    <w:rsid w:val="00E47FF2"/>
    <w:rsid w:val="00EA2B17"/>
    <w:rsid w:val="00EA3612"/>
    <w:rsid w:val="00ED0628"/>
    <w:rsid w:val="00EF7A6D"/>
    <w:rsid w:val="00F177B5"/>
    <w:rsid w:val="00F23773"/>
    <w:rsid w:val="00F368D0"/>
    <w:rsid w:val="00F60C26"/>
    <w:rsid w:val="00F61DE8"/>
    <w:rsid w:val="00F82D00"/>
    <w:rsid w:val="00FB2F9A"/>
    <w:rsid w:val="00FC5A39"/>
    <w:rsid w:val="00FC6ECA"/>
    <w:rsid w:val="00FD3C38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1F0"/>
  <w15:docId w15:val="{FBBC8539-A4A0-4B7E-B1F2-533A2DB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D2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2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2C22"/>
    <w:pPr>
      <w:keepNext/>
      <w:jc w:val="right"/>
      <w:outlineLvl w:val="2"/>
    </w:pPr>
    <w:rPr>
      <w:rFonts w:ascii="Times New Roman CYR" w:hAnsi="Times New Roman CYR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D2C2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D2C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D2C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2C2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C2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D2C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D2C22"/>
    <w:rPr>
      <w:rFonts w:ascii="Times New Roman CYR" w:hAnsi="Times New Roman CYR"/>
      <w:b/>
      <w:sz w:val="32"/>
      <w:lang w:eastAsia="ru-RU"/>
    </w:rPr>
  </w:style>
  <w:style w:type="character" w:customStyle="1" w:styleId="40">
    <w:name w:val="Заголовок 4 Знак"/>
    <w:link w:val="4"/>
    <w:rsid w:val="004D2C22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4D2C2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4D2C22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4D2C22"/>
    <w:rPr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D2C22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link w:val="a3"/>
    <w:rsid w:val="004D2C22"/>
    <w:rPr>
      <w:b/>
      <w:bCs/>
      <w:sz w:val="28"/>
      <w:lang w:eastAsia="ru-RU"/>
    </w:rPr>
  </w:style>
  <w:style w:type="paragraph" w:styleId="a5">
    <w:name w:val="Subtitle"/>
    <w:basedOn w:val="a"/>
    <w:link w:val="a6"/>
    <w:qFormat/>
    <w:rsid w:val="004D2C22"/>
    <w:pPr>
      <w:ind w:left="-426" w:right="-283"/>
      <w:jc w:val="center"/>
    </w:pPr>
    <w:rPr>
      <w:sz w:val="36"/>
      <w:szCs w:val="20"/>
    </w:rPr>
  </w:style>
  <w:style w:type="character" w:customStyle="1" w:styleId="a6">
    <w:name w:val="Подзаголовок Знак"/>
    <w:link w:val="a5"/>
    <w:rsid w:val="004D2C22"/>
    <w:rPr>
      <w:sz w:val="36"/>
      <w:lang w:eastAsia="ru-RU"/>
    </w:rPr>
  </w:style>
  <w:style w:type="character" w:styleId="a7">
    <w:name w:val="Strong"/>
    <w:qFormat/>
    <w:rsid w:val="004D2C22"/>
    <w:rPr>
      <w:b/>
      <w:bCs/>
    </w:rPr>
  </w:style>
  <w:style w:type="paragraph" w:styleId="a8">
    <w:name w:val="No Spacing"/>
    <w:qFormat/>
    <w:rsid w:val="004D2C22"/>
    <w:rPr>
      <w:szCs w:val="22"/>
    </w:rPr>
  </w:style>
  <w:style w:type="paragraph" w:styleId="a9">
    <w:name w:val="List Paragraph"/>
    <w:basedOn w:val="a"/>
    <w:qFormat/>
    <w:rsid w:val="004D2C22"/>
    <w:pPr>
      <w:ind w:left="720"/>
      <w:contextualSpacing/>
    </w:pPr>
  </w:style>
  <w:style w:type="table" w:styleId="aa">
    <w:name w:val="Table Grid"/>
    <w:basedOn w:val="a1"/>
    <w:uiPriority w:val="59"/>
    <w:rsid w:val="00EA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.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41910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C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C144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ED062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FE8F-055E-4FC9-BCA8-8AC2328B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25</Pages>
  <Words>8330</Words>
  <Characters>47483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Microsoft</Company>
  <LinksUpToDate>false</LinksUpToDate>
  <CharactersWithSpaces>55702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ADM</dc:creator>
  <cp:lastModifiedBy>Острякова Екатерина Алексеевна</cp:lastModifiedBy>
  <cp:revision>25</cp:revision>
  <cp:lastPrinted>2021-02-08T08:03:00Z</cp:lastPrinted>
  <dcterms:created xsi:type="dcterms:W3CDTF">2021-07-19T05:47:00Z</dcterms:created>
  <dcterms:modified xsi:type="dcterms:W3CDTF">2023-07-17T05:47:00Z</dcterms:modified>
</cp:coreProperties>
</file>